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center" w:pos="4820"/>
          <w:tab w:val="clear" w:pos="4678"/>
        </w:tabs>
        <w:ind w:left="0" w:leftChars="0" w:right="0" w:rightChars="0" w:firstLine="0"/>
        <w:rPr>
          <w:color w:val="auto"/>
          <w:w w:val="80"/>
          <w:highlight w:val="none"/>
        </w:rPr>
      </w:pPr>
      <w:bookmarkStart w:id="0" w:name="_Hlk190784862"/>
      <w:r>
        <w:rPr>
          <w:color w:val="auto"/>
          <w:w w:val="80"/>
          <w:highlight w:val="none"/>
        </w:rPr>
        <w:t>A200000</w:t>
      </w:r>
      <w:r>
        <w:rPr>
          <w:color w:val="auto"/>
          <w:w w:val="80"/>
          <w:highlight w:val="none"/>
        </w:rPr>
        <w:tab/>
      </w:r>
      <w:r>
        <w:rPr>
          <w:color w:val="auto"/>
          <w:w w:val="80"/>
          <w:highlight w:val="none"/>
        </w:rPr>
        <w:t xml:space="preserve">    中华人民共和国企业所得税月（季）度预缴纳税申报表（A类）</w:t>
      </w:r>
    </w:p>
    <w:tbl>
      <w:tblPr>
        <w:tblStyle w:val="5"/>
        <w:tblW w:w="10773" w:type="dxa"/>
        <w:jc w:val="center"/>
        <w:tblLayout w:type="fixed"/>
        <w:tblCellMar>
          <w:top w:w="0" w:type="dxa"/>
          <w:left w:w="108" w:type="dxa"/>
          <w:bottom w:w="0" w:type="dxa"/>
          <w:right w:w="108" w:type="dxa"/>
        </w:tblCellMar>
      </w:tblPr>
      <w:tblGrid>
        <w:gridCol w:w="850"/>
        <w:gridCol w:w="710"/>
        <w:gridCol w:w="895"/>
        <w:gridCol w:w="943"/>
        <w:gridCol w:w="664"/>
        <w:gridCol w:w="187"/>
        <w:gridCol w:w="801"/>
        <w:gridCol w:w="358"/>
        <w:gridCol w:w="364"/>
        <w:gridCol w:w="845"/>
        <w:gridCol w:w="51"/>
        <w:gridCol w:w="724"/>
        <w:gridCol w:w="968"/>
        <w:gridCol w:w="1138"/>
        <w:gridCol w:w="1275"/>
      </w:tblGrid>
      <w:tr>
        <w:tblPrEx>
          <w:tblCellMar>
            <w:top w:w="0" w:type="dxa"/>
            <w:left w:w="108" w:type="dxa"/>
            <w:bottom w:w="0" w:type="dxa"/>
            <w:right w:w="108" w:type="dxa"/>
          </w:tblCellMar>
        </w:tblPrEx>
        <w:trPr>
          <w:trHeight w:val="177" w:hRule="atLeast"/>
          <w:jc w:val="center"/>
        </w:trPr>
        <w:tc>
          <w:tcPr>
            <w:tcW w:w="10773" w:type="dxa"/>
            <w:gridSpan w:val="15"/>
            <w:tcBorders>
              <w:top w:val="nil"/>
              <w:left w:val="nil"/>
              <w:right w:val="nil"/>
            </w:tcBorders>
            <w:noWrap w:val="0"/>
            <w:vAlign w:val="center"/>
          </w:tcPr>
          <w:p>
            <w:pPr>
              <w:widowControl/>
              <w:snapToGrid w:val="0"/>
              <w:jc w:val="center"/>
              <w:textAlignment w:val="baseline"/>
              <w:rPr>
                <w:rFonts w:ascii="宋体" w:hAnsi="宋体" w:eastAsia="宋体" w:cs="Times New Roman"/>
                <w:color w:val="auto"/>
                <w:kern w:val="0"/>
                <w:sz w:val="20"/>
                <w:szCs w:val="20"/>
                <w:highlight w:val="none"/>
              </w:rPr>
            </w:pPr>
            <w:r>
              <w:rPr>
                <w:rFonts w:hint="eastAsia" w:ascii="宋体" w:hAnsi="宋体" w:eastAsia="宋体" w:cs="宋体"/>
                <w:color w:val="auto"/>
                <w:kern w:val="0"/>
                <w:sz w:val="20"/>
                <w:szCs w:val="20"/>
                <w:highlight w:val="none"/>
              </w:rPr>
              <w:t>税款所属期间：  年  月  日至  年  月  日</w:t>
            </w:r>
          </w:p>
        </w:tc>
      </w:tr>
      <w:tr>
        <w:tblPrEx>
          <w:tblCellMar>
            <w:top w:w="0" w:type="dxa"/>
            <w:left w:w="108" w:type="dxa"/>
            <w:bottom w:w="0" w:type="dxa"/>
            <w:right w:w="108" w:type="dxa"/>
          </w:tblCellMar>
        </w:tblPrEx>
        <w:trPr>
          <w:trHeight w:val="471" w:hRule="atLeast"/>
          <w:jc w:val="center"/>
        </w:trPr>
        <w:tc>
          <w:tcPr>
            <w:tcW w:w="4062" w:type="dxa"/>
            <w:gridSpan w:val="5"/>
            <w:noWrap w:val="0"/>
            <w:vAlign w:val="center"/>
          </w:tcPr>
          <w:p>
            <w:pPr>
              <w:widowControl/>
              <w:snapToGrid w:val="0"/>
              <w:spacing w:line="320" w:lineRule="exact"/>
              <w:jc w:val="left"/>
              <w:textAlignment w:val="baseline"/>
              <w:rPr>
                <w:rFonts w:ascii="宋体" w:hAnsi="宋体" w:eastAsia="宋体" w:cs="Times New Roman"/>
                <w:color w:val="auto"/>
                <w:kern w:val="0"/>
                <w:sz w:val="20"/>
                <w:szCs w:val="20"/>
                <w:highlight w:val="none"/>
              </w:rPr>
            </w:pPr>
            <w:r>
              <w:rPr>
                <w:rFonts w:hint="eastAsia" w:ascii="宋体" w:hAnsi="宋体" w:eastAsia="宋体" w:cs="宋体"/>
                <w:color w:val="auto"/>
                <w:kern w:val="0"/>
                <w:sz w:val="20"/>
                <w:szCs w:val="20"/>
                <w:highlight w:val="none"/>
              </w:rPr>
              <w:t>纳税人识别号（统一社会信用代码）：</w:t>
            </w:r>
          </w:p>
        </w:tc>
        <w:tc>
          <w:tcPr>
            <w:tcW w:w="6711" w:type="dxa"/>
            <w:gridSpan w:val="10"/>
            <w:noWrap w:val="0"/>
            <w:vAlign w:val="center"/>
          </w:tcPr>
          <w:p>
            <w:pPr>
              <w:widowControl/>
              <w:snapToGrid w:val="0"/>
              <w:spacing w:line="240" w:lineRule="atLeast"/>
              <w:jc w:val="left"/>
              <w:textAlignment w:val="baseline"/>
              <w:rPr>
                <w:rFonts w:ascii="宋体" w:hAnsi="宋体" w:eastAsia="宋体" w:cs="Times New Roman"/>
                <w:color w:val="auto"/>
                <w:spacing w:val="-30"/>
                <w:kern w:val="0"/>
                <w:sz w:val="32"/>
                <w:szCs w:val="32"/>
                <w:highlight w:val="none"/>
              </w:rPr>
            </w:pPr>
            <w:r>
              <w:rPr>
                <w:rFonts w:hint="eastAsia" w:ascii="宋体" w:hAnsi="宋体" w:eastAsia="宋体" w:cs="宋体"/>
                <w:color w:val="auto"/>
                <w:spacing w:val="-30"/>
                <w:kern w:val="0"/>
                <w:sz w:val="36"/>
                <w:szCs w:val="36"/>
                <w:highlight w:val="none"/>
              </w:rPr>
              <w:t>□□□□□□□□□□□□□□□□□□</w:t>
            </w:r>
          </w:p>
        </w:tc>
      </w:tr>
      <w:tr>
        <w:tblPrEx>
          <w:tblCellMar>
            <w:top w:w="0" w:type="dxa"/>
            <w:left w:w="108" w:type="dxa"/>
            <w:bottom w:w="0" w:type="dxa"/>
            <w:right w:w="108" w:type="dxa"/>
          </w:tblCellMar>
        </w:tblPrEx>
        <w:trPr>
          <w:trHeight w:val="177" w:hRule="atLeast"/>
          <w:jc w:val="center"/>
        </w:trPr>
        <w:tc>
          <w:tcPr>
            <w:tcW w:w="4062" w:type="dxa"/>
            <w:gridSpan w:val="5"/>
            <w:tcBorders>
              <w:left w:val="nil"/>
              <w:bottom w:val="single" w:color="auto" w:sz="12" w:space="0"/>
              <w:right w:val="nil"/>
            </w:tcBorders>
            <w:noWrap w:val="0"/>
            <w:vAlign w:val="center"/>
          </w:tcPr>
          <w:p>
            <w:pPr>
              <w:pStyle w:val="8"/>
              <w:snapToGrid w:val="0"/>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纳税人名称：</w:t>
            </w:r>
          </w:p>
        </w:tc>
        <w:tc>
          <w:tcPr>
            <w:tcW w:w="6711" w:type="dxa"/>
            <w:gridSpan w:val="10"/>
            <w:tcBorders>
              <w:left w:val="nil"/>
              <w:bottom w:val="single" w:color="auto" w:sz="12" w:space="0"/>
              <w:right w:val="nil"/>
            </w:tcBorders>
            <w:noWrap w:val="0"/>
            <w:vAlign w:val="center"/>
          </w:tcPr>
          <w:p>
            <w:pPr>
              <w:pStyle w:val="8"/>
              <w:snapToGrid w:val="0"/>
              <w:jc w:val="right"/>
              <w:textAlignment w:val="baseline"/>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金额单位：人民币元</w:t>
            </w:r>
            <w:r>
              <w:rPr>
                <w:rFonts w:ascii="宋体" w:hAnsi="宋体" w:eastAsia="宋体" w:cs="宋体"/>
                <w:color w:val="auto"/>
                <w:sz w:val="20"/>
                <w:szCs w:val="20"/>
                <w:highlight w:val="none"/>
              </w:rPr>
              <w:t>(</w:t>
            </w:r>
            <w:r>
              <w:rPr>
                <w:rFonts w:hint="eastAsia" w:ascii="宋体" w:hAnsi="宋体" w:eastAsia="宋体" w:cs="宋体"/>
                <w:color w:val="auto"/>
                <w:sz w:val="20"/>
                <w:szCs w:val="20"/>
                <w:highlight w:val="none"/>
              </w:rPr>
              <w:t>列至角分</w:t>
            </w:r>
            <w:r>
              <w:rPr>
                <w:rFonts w:ascii="宋体" w:hAnsi="宋体" w:eastAsia="宋体" w:cs="宋体"/>
                <w:color w:val="auto"/>
                <w:sz w:val="20"/>
                <w:szCs w:val="20"/>
                <w:highlight w:val="none"/>
              </w:rPr>
              <w:t>)</w:t>
            </w:r>
          </w:p>
        </w:tc>
      </w:tr>
      <w:tr>
        <w:tblPrEx>
          <w:tblCellMar>
            <w:top w:w="0" w:type="dxa"/>
            <w:left w:w="108" w:type="dxa"/>
            <w:bottom w:w="0" w:type="dxa"/>
            <w:right w:w="108" w:type="dxa"/>
          </w:tblCellMar>
        </w:tblPrEx>
        <w:trPr>
          <w:trHeight w:val="142" w:hRule="atLeast"/>
          <w:jc w:val="center"/>
        </w:trPr>
        <w:tc>
          <w:tcPr>
            <w:tcW w:w="10773" w:type="dxa"/>
            <w:gridSpan w:val="15"/>
            <w:tcBorders>
              <w:top w:val="single" w:color="auto" w:sz="12" w:space="0"/>
              <w:left w:val="single" w:color="auto" w:sz="12" w:space="0"/>
              <w:bottom w:val="single" w:color="auto" w:sz="6" w:space="0"/>
              <w:right w:val="single" w:color="auto" w:sz="12" w:space="0"/>
            </w:tcBorders>
            <w:noWrap w:val="0"/>
            <w:vAlign w:val="center"/>
          </w:tcPr>
          <w:p>
            <w:pPr>
              <w:pStyle w:val="8"/>
              <w:snapToGrid w:val="0"/>
              <w:spacing w:line="260" w:lineRule="exact"/>
              <w:ind w:left="3840" w:right="3360"/>
              <w:jc w:val="distribute"/>
              <w:textAlignment w:val="baseline"/>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优惠及附报事项有关信息</w:t>
            </w:r>
          </w:p>
        </w:tc>
      </w:tr>
      <w:tr>
        <w:tblPrEx>
          <w:tblCellMar>
            <w:top w:w="0" w:type="dxa"/>
            <w:left w:w="108" w:type="dxa"/>
            <w:bottom w:w="0" w:type="dxa"/>
            <w:right w:w="108" w:type="dxa"/>
          </w:tblCellMar>
        </w:tblPrEx>
        <w:trPr>
          <w:trHeight w:val="273" w:hRule="atLeast"/>
          <w:jc w:val="center"/>
        </w:trPr>
        <w:tc>
          <w:tcPr>
            <w:tcW w:w="2455" w:type="dxa"/>
            <w:gridSpan w:val="3"/>
            <w:vMerge w:val="restart"/>
            <w:tcBorders>
              <w:top w:val="single" w:color="auto" w:sz="6" w:space="0"/>
              <w:left w:val="single" w:color="auto" w:sz="12"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项　　目</w:t>
            </w:r>
          </w:p>
        </w:tc>
        <w:tc>
          <w:tcPr>
            <w:tcW w:w="1794" w:type="dxa"/>
            <w:gridSpan w:val="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一季度</w:t>
            </w:r>
          </w:p>
        </w:tc>
        <w:tc>
          <w:tcPr>
            <w:tcW w:w="1523" w:type="dxa"/>
            <w:gridSpan w:val="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二季度</w:t>
            </w:r>
          </w:p>
        </w:tc>
        <w:tc>
          <w:tcPr>
            <w:tcW w:w="1620" w:type="dxa"/>
            <w:gridSpan w:val="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三季度</w:t>
            </w:r>
          </w:p>
        </w:tc>
        <w:tc>
          <w:tcPr>
            <w:tcW w:w="2106" w:type="dxa"/>
            <w:gridSpan w:val="2"/>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四季度</w:t>
            </w:r>
          </w:p>
        </w:tc>
        <w:tc>
          <w:tcPr>
            <w:tcW w:w="1275" w:type="dxa"/>
            <w:vMerge w:val="restart"/>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季度平均值</w:t>
            </w:r>
          </w:p>
        </w:tc>
      </w:tr>
      <w:tr>
        <w:tblPrEx>
          <w:tblCellMar>
            <w:top w:w="0" w:type="dxa"/>
            <w:left w:w="108" w:type="dxa"/>
            <w:bottom w:w="0" w:type="dxa"/>
            <w:right w:w="108" w:type="dxa"/>
          </w:tblCellMar>
        </w:tblPrEx>
        <w:trPr>
          <w:trHeight w:val="273" w:hRule="atLeast"/>
          <w:jc w:val="center"/>
        </w:trPr>
        <w:tc>
          <w:tcPr>
            <w:tcW w:w="2455" w:type="dxa"/>
            <w:gridSpan w:val="3"/>
            <w:vMerge w:val="continue"/>
            <w:tcBorders>
              <w:top w:val="single" w:color="auto" w:sz="6" w:space="0"/>
              <w:left w:val="single" w:color="auto" w:sz="12"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c>
          <w:tcPr>
            <w:tcW w:w="943" w:type="dxa"/>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季初</w:t>
            </w: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季末</w:t>
            </w:r>
          </w:p>
        </w:tc>
        <w:tc>
          <w:tcPr>
            <w:tcW w:w="801" w:type="dxa"/>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季初</w:t>
            </w:r>
          </w:p>
        </w:tc>
        <w:tc>
          <w:tcPr>
            <w:tcW w:w="722" w:type="dxa"/>
            <w:gridSpan w:val="2"/>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季末</w:t>
            </w:r>
          </w:p>
        </w:tc>
        <w:tc>
          <w:tcPr>
            <w:tcW w:w="845" w:type="dxa"/>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季初</w:t>
            </w:r>
          </w:p>
        </w:tc>
        <w:tc>
          <w:tcPr>
            <w:tcW w:w="775" w:type="dxa"/>
            <w:gridSpan w:val="2"/>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季末</w:t>
            </w:r>
          </w:p>
        </w:tc>
        <w:tc>
          <w:tcPr>
            <w:tcW w:w="968" w:type="dxa"/>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季初</w:t>
            </w:r>
          </w:p>
        </w:tc>
        <w:tc>
          <w:tcPr>
            <w:tcW w:w="1138" w:type="dxa"/>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季末</w:t>
            </w:r>
          </w:p>
        </w:tc>
        <w:tc>
          <w:tcPr>
            <w:tcW w:w="1275" w:type="dxa"/>
            <w:vMerge w:val="continue"/>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73" w:hRule="atLeast"/>
          <w:jc w:val="center"/>
        </w:trPr>
        <w:tc>
          <w:tcPr>
            <w:tcW w:w="2455" w:type="dxa"/>
            <w:gridSpan w:val="3"/>
            <w:tcBorders>
              <w:top w:val="single" w:color="auto" w:sz="6" w:space="0"/>
              <w:left w:val="single" w:color="auto" w:sz="12" w:space="0"/>
              <w:bottom w:val="single" w:color="auto" w:sz="6" w:space="0"/>
              <w:right w:val="single" w:color="auto" w:sz="6" w:space="0"/>
            </w:tcBorders>
            <w:noWrap w:val="0"/>
            <w:vAlign w:val="top"/>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从业人数</w:t>
            </w:r>
          </w:p>
        </w:tc>
        <w:tc>
          <w:tcPr>
            <w:tcW w:w="943" w:type="dxa"/>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c>
          <w:tcPr>
            <w:tcW w:w="801" w:type="dxa"/>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c>
          <w:tcPr>
            <w:tcW w:w="722" w:type="dxa"/>
            <w:gridSpan w:val="2"/>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c>
          <w:tcPr>
            <w:tcW w:w="845" w:type="dxa"/>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c>
          <w:tcPr>
            <w:tcW w:w="775" w:type="dxa"/>
            <w:gridSpan w:val="2"/>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c>
          <w:tcPr>
            <w:tcW w:w="968" w:type="dxa"/>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c>
          <w:tcPr>
            <w:tcW w:w="1138" w:type="dxa"/>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73" w:hRule="atLeast"/>
          <w:jc w:val="center"/>
        </w:trPr>
        <w:tc>
          <w:tcPr>
            <w:tcW w:w="2455" w:type="dxa"/>
            <w:gridSpan w:val="3"/>
            <w:tcBorders>
              <w:top w:val="single" w:color="auto" w:sz="6" w:space="0"/>
              <w:left w:val="single" w:color="auto" w:sz="12" w:space="0"/>
              <w:bottom w:val="single" w:color="auto" w:sz="6" w:space="0"/>
              <w:right w:val="single" w:color="auto" w:sz="6" w:space="0"/>
            </w:tcBorders>
            <w:noWrap w:val="0"/>
            <w:vAlign w:val="top"/>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资产总额（万元）</w:t>
            </w:r>
          </w:p>
        </w:tc>
        <w:tc>
          <w:tcPr>
            <w:tcW w:w="943" w:type="dxa"/>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c>
          <w:tcPr>
            <w:tcW w:w="801" w:type="dxa"/>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c>
          <w:tcPr>
            <w:tcW w:w="722" w:type="dxa"/>
            <w:gridSpan w:val="2"/>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c>
          <w:tcPr>
            <w:tcW w:w="845" w:type="dxa"/>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c>
          <w:tcPr>
            <w:tcW w:w="775" w:type="dxa"/>
            <w:gridSpan w:val="2"/>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c>
          <w:tcPr>
            <w:tcW w:w="968" w:type="dxa"/>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c>
          <w:tcPr>
            <w:tcW w:w="1138" w:type="dxa"/>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73" w:hRule="atLeast"/>
          <w:jc w:val="center"/>
        </w:trPr>
        <w:tc>
          <w:tcPr>
            <w:tcW w:w="2455" w:type="dxa"/>
            <w:gridSpan w:val="3"/>
            <w:tcBorders>
              <w:top w:val="single" w:color="auto" w:sz="6" w:space="0"/>
              <w:left w:val="single" w:color="auto" w:sz="12" w:space="0"/>
              <w:bottom w:val="single" w:color="auto" w:sz="12" w:space="0"/>
              <w:right w:val="single" w:color="auto" w:sz="6" w:space="0"/>
            </w:tcBorders>
            <w:noWrap w:val="0"/>
            <w:vAlign w:val="top"/>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国家限制或禁止行业</w:t>
            </w:r>
          </w:p>
        </w:tc>
        <w:tc>
          <w:tcPr>
            <w:tcW w:w="3317" w:type="dxa"/>
            <w:gridSpan w:val="6"/>
            <w:tcBorders>
              <w:top w:val="single" w:color="auto" w:sz="6" w:space="0"/>
              <w:left w:val="single" w:color="auto" w:sz="6" w:space="0"/>
              <w:bottom w:val="single" w:color="auto" w:sz="12"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□是□否</w:t>
            </w:r>
          </w:p>
        </w:tc>
        <w:tc>
          <w:tcPr>
            <w:tcW w:w="3726" w:type="dxa"/>
            <w:gridSpan w:val="5"/>
            <w:tcBorders>
              <w:top w:val="single" w:color="auto" w:sz="6" w:space="0"/>
              <w:left w:val="single" w:color="auto" w:sz="6" w:space="0"/>
              <w:bottom w:val="single" w:color="auto" w:sz="12"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小型微利企业</w:t>
            </w:r>
          </w:p>
        </w:tc>
        <w:tc>
          <w:tcPr>
            <w:tcW w:w="1275" w:type="dxa"/>
            <w:tcBorders>
              <w:top w:val="single" w:color="auto" w:sz="6" w:space="0"/>
              <w:left w:val="single" w:color="auto" w:sz="6" w:space="0"/>
              <w:bottom w:val="single" w:color="auto" w:sz="12"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☐是☐否</w:t>
            </w:r>
          </w:p>
        </w:tc>
      </w:tr>
      <w:tr>
        <w:tblPrEx>
          <w:tblCellMar>
            <w:top w:w="0" w:type="dxa"/>
            <w:left w:w="108" w:type="dxa"/>
            <w:bottom w:w="0" w:type="dxa"/>
            <w:right w:w="108" w:type="dxa"/>
          </w:tblCellMar>
        </w:tblPrEx>
        <w:trPr>
          <w:trHeight w:val="273" w:hRule="atLeast"/>
          <w:jc w:val="center"/>
        </w:trPr>
        <w:tc>
          <w:tcPr>
            <w:tcW w:w="850" w:type="dxa"/>
            <w:tcBorders>
              <w:top w:val="single" w:color="auto" w:sz="12" w:space="0"/>
              <w:left w:val="single" w:color="auto" w:sz="12" w:space="0"/>
              <w:bottom w:val="single" w:color="auto" w:sz="6" w:space="0"/>
              <w:right w:val="single" w:color="auto" w:sz="6" w:space="0"/>
            </w:tcBorders>
            <w:noWrap w:val="0"/>
            <w:vAlign w:val="top"/>
          </w:tcPr>
          <w:p>
            <w:pPr>
              <w:pStyle w:val="8"/>
              <w:snapToGrid w:val="0"/>
              <w:spacing w:line="260" w:lineRule="exact"/>
              <w:jc w:val="center"/>
              <w:textAlignment w:val="baseline"/>
              <w:rPr>
                <w:rFonts w:ascii="宋体" w:hAnsi="宋体" w:eastAsia="宋体" w:cs="宋体"/>
                <w:color w:val="auto"/>
                <w:sz w:val="20"/>
                <w:szCs w:val="20"/>
                <w:highlight w:val="none"/>
              </w:rPr>
            </w:pPr>
          </w:p>
        </w:tc>
        <w:tc>
          <w:tcPr>
            <w:tcW w:w="8648" w:type="dxa"/>
            <w:gridSpan w:val="13"/>
            <w:tcBorders>
              <w:top w:val="single" w:color="auto" w:sz="12"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s="宋体"/>
                <w:color w:val="auto"/>
                <w:sz w:val="20"/>
                <w:szCs w:val="20"/>
                <w:highlight w:val="none"/>
              </w:rPr>
            </w:pPr>
            <w:r>
              <w:rPr>
                <w:rFonts w:hint="eastAsia" w:ascii="宋体" w:hAnsi="宋体" w:eastAsia="宋体" w:cs="宋体"/>
                <w:b/>
                <w:bCs/>
                <w:color w:val="auto"/>
                <w:spacing w:val="121"/>
                <w:sz w:val="20"/>
                <w:szCs w:val="20"/>
                <w:highlight w:val="none"/>
              </w:rPr>
              <w:t>附报事项名</w:t>
            </w:r>
            <w:r>
              <w:rPr>
                <w:rFonts w:hint="eastAsia" w:ascii="宋体" w:hAnsi="宋体" w:eastAsia="宋体" w:cs="宋体"/>
                <w:b/>
                <w:bCs/>
                <w:color w:val="auto"/>
                <w:spacing w:val="-1"/>
                <w:sz w:val="20"/>
                <w:szCs w:val="20"/>
                <w:highlight w:val="none"/>
              </w:rPr>
              <w:t>称</w:t>
            </w:r>
          </w:p>
        </w:tc>
        <w:tc>
          <w:tcPr>
            <w:tcW w:w="1275" w:type="dxa"/>
            <w:tcBorders>
              <w:top w:val="single" w:color="auto" w:sz="12"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金额或选项</w:t>
            </w:r>
          </w:p>
        </w:tc>
      </w:tr>
      <w:tr>
        <w:tblPrEx>
          <w:tblCellMar>
            <w:top w:w="0" w:type="dxa"/>
            <w:left w:w="108" w:type="dxa"/>
            <w:bottom w:w="0" w:type="dxa"/>
            <w:right w:w="108" w:type="dxa"/>
          </w:tblCellMar>
        </w:tblPrEx>
        <w:trPr>
          <w:trHeight w:val="240" w:hRule="atLeast"/>
          <w:jc w:val="center"/>
        </w:trPr>
        <w:tc>
          <w:tcPr>
            <w:tcW w:w="850" w:type="dxa"/>
            <w:vMerge w:val="restart"/>
            <w:tcBorders>
              <w:top w:val="single" w:color="auto" w:sz="6" w:space="0"/>
              <w:left w:val="single" w:color="auto" w:sz="12" w:space="0"/>
              <w:right w:val="single" w:color="auto" w:sz="6" w:space="0"/>
            </w:tcBorders>
            <w:noWrap w:val="0"/>
            <w:vAlign w:val="center"/>
          </w:tcPr>
          <w:p>
            <w:pPr>
              <w:pStyle w:val="8"/>
              <w:snapToGrid w:val="0"/>
              <w:spacing w:line="260" w:lineRule="exact"/>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事项1</w:t>
            </w:r>
          </w:p>
        </w:tc>
        <w:tc>
          <w:tcPr>
            <w:tcW w:w="2548" w:type="dxa"/>
            <w:gridSpan w:val="3"/>
            <w:vMerge w:val="restart"/>
            <w:tcBorders>
              <w:top w:val="single" w:color="auto" w:sz="6" w:space="0"/>
              <w:left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olor w:val="auto"/>
                <w:kern w:val="2"/>
                <w:sz w:val="21"/>
                <w:szCs w:val="22"/>
                <w:highlight w:val="none"/>
              </w:rPr>
            </w:pPr>
            <w:r>
              <w:rPr>
                <w:rStyle w:val="6"/>
                <w:rFonts w:hint="eastAsia" w:ascii="宋体" w:hAnsi="宋体" w:eastAsia="宋体"/>
                <w:color w:val="auto"/>
                <w:kern w:val="2"/>
                <w:sz w:val="21"/>
                <w:szCs w:val="22"/>
                <w:highlight w:val="none"/>
              </w:rPr>
              <w:t>☐</w:t>
            </w:r>
            <w:r>
              <w:rPr>
                <w:rStyle w:val="6"/>
                <w:rFonts w:hint="eastAsia" w:ascii="宋体" w:hAnsi="宋体" w:eastAsia="宋体"/>
                <w:color w:val="auto"/>
                <w:kern w:val="2"/>
                <w:sz w:val="21"/>
                <w:szCs w:val="22"/>
                <w:highlight w:val="none"/>
                <w:lang w:val="en-US" w:eastAsia="zh-CN"/>
              </w:rPr>
              <w:t>职工薪酬</w:t>
            </w:r>
          </w:p>
        </w:tc>
        <w:tc>
          <w:tcPr>
            <w:tcW w:w="6100" w:type="dxa"/>
            <w:gridSpan w:val="10"/>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Style w:val="6"/>
                <w:rFonts w:hint="eastAsia" w:ascii="宋体" w:hAnsi="宋体" w:eastAsia="宋体"/>
                <w:color w:val="auto"/>
                <w:kern w:val="2"/>
                <w:sz w:val="21"/>
                <w:szCs w:val="22"/>
                <w:highlight w:val="none"/>
              </w:rPr>
            </w:pPr>
            <w:r>
              <w:rPr>
                <w:rStyle w:val="6"/>
                <w:rFonts w:hint="eastAsia" w:ascii="宋体" w:hAnsi="宋体" w:eastAsia="宋体"/>
                <w:color w:val="auto"/>
                <w:kern w:val="2"/>
                <w:sz w:val="21"/>
                <w:szCs w:val="22"/>
                <w:highlight w:val="none"/>
                <w:lang w:val="en-US" w:eastAsia="zh-CN"/>
              </w:rPr>
              <w:t>已计入成本费用的职工薪酬</w:t>
            </w:r>
            <w:r>
              <w:rPr>
                <w:rStyle w:val="6"/>
                <w:rFonts w:hint="eastAsia" w:ascii="宋体" w:hAnsi="宋体" w:eastAsia="宋体"/>
                <w:color w:val="auto"/>
                <w:kern w:val="2"/>
                <w:sz w:val="21"/>
                <w:szCs w:val="22"/>
                <w:highlight w:val="none"/>
              </w:rPr>
              <w:t>（</w:t>
            </w:r>
            <w:r>
              <w:rPr>
                <w:rStyle w:val="6"/>
                <w:rFonts w:hint="eastAsia" w:ascii="宋体" w:hAnsi="宋体" w:eastAsia="宋体"/>
                <w:color w:val="auto"/>
                <w:kern w:val="2"/>
                <w:sz w:val="21"/>
                <w:szCs w:val="22"/>
                <w:highlight w:val="none"/>
                <w:lang w:val="en-US" w:eastAsia="zh-CN"/>
              </w:rPr>
              <w:t>单位：</w:t>
            </w:r>
            <w:r>
              <w:rPr>
                <w:rStyle w:val="6"/>
                <w:rFonts w:hint="eastAsia" w:ascii="宋体" w:hAnsi="宋体" w:eastAsia="宋体"/>
                <w:color w:val="auto"/>
                <w:kern w:val="2"/>
                <w:sz w:val="21"/>
                <w:szCs w:val="22"/>
                <w:highlight w:val="none"/>
              </w:rPr>
              <w:t>元）</w:t>
            </w:r>
          </w:p>
        </w:tc>
        <w:tc>
          <w:tcPr>
            <w:tcW w:w="1275" w:type="dxa"/>
            <w:tcBorders>
              <w:top w:val="single" w:color="auto" w:sz="6" w:space="0"/>
              <w:left w:val="single" w:color="auto" w:sz="6" w:space="0"/>
              <w:bottom w:val="single" w:color="auto" w:sz="4" w:space="0"/>
              <w:right w:val="single" w:color="auto" w:sz="12" w:space="0"/>
            </w:tcBorders>
            <w:noWrap w:val="0"/>
            <w:vAlign w:val="center"/>
          </w:tcPr>
          <w:p>
            <w:pPr>
              <w:pStyle w:val="8"/>
              <w:bidi w:val="0"/>
              <w:snapToGrid w:val="0"/>
              <w:spacing w:line="260" w:lineRule="exact"/>
              <w:textAlignment w:val="baseline"/>
              <w:rPr>
                <w:rFonts w:ascii="宋体" w:hAnsi="宋体" w:eastAsia="宋体"/>
                <w:color w:val="auto"/>
                <w:kern w:val="2"/>
                <w:sz w:val="21"/>
                <w:szCs w:val="22"/>
                <w:highlight w:val="none"/>
              </w:rPr>
            </w:pPr>
          </w:p>
        </w:tc>
      </w:tr>
      <w:tr>
        <w:tblPrEx>
          <w:tblCellMar>
            <w:top w:w="0" w:type="dxa"/>
            <w:left w:w="108" w:type="dxa"/>
            <w:bottom w:w="0" w:type="dxa"/>
            <w:right w:w="108" w:type="dxa"/>
          </w:tblCellMar>
        </w:tblPrEx>
        <w:trPr>
          <w:trHeight w:val="129" w:hRule="atLeast"/>
          <w:jc w:val="center"/>
        </w:trPr>
        <w:tc>
          <w:tcPr>
            <w:tcW w:w="850" w:type="dxa"/>
            <w:vMerge w:val="continue"/>
            <w:tcBorders>
              <w:left w:val="single" w:color="auto" w:sz="12" w:space="0"/>
              <w:bottom w:val="single" w:color="auto" w:sz="6" w:space="0"/>
              <w:right w:val="single" w:color="auto" w:sz="6" w:space="0"/>
            </w:tcBorders>
            <w:noWrap w:val="0"/>
            <w:vAlign w:val="top"/>
          </w:tcPr>
          <w:p>
            <w:pPr>
              <w:pStyle w:val="8"/>
              <w:snapToGrid w:val="0"/>
              <w:spacing w:line="260" w:lineRule="exact"/>
              <w:textAlignment w:val="baseline"/>
              <w:rPr>
                <w:color w:val="auto"/>
                <w:highlight w:val="none"/>
              </w:rPr>
            </w:pPr>
          </w:p>
        </w:tc>
        <w:tc>
          <w:tcPr>
            <w:tcW w:w="2548" w:type="dxa"/>
            <w:gridSpan w:val="3"/>
            <w:vMerge w:val="continue"/>
            <w:tcBorders>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color w:val="auto"/>
                <w:highlight w:val="none"/>
              </w:rPr>
            </w:pPr>
          </w:p>
        </w:tc>
        <w:tc>
          <w:tcPr>
            <w:tcW w:w="6100" w:type="dxa"/>
            <w:gridSpan w:val="10"/>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Style w:val="6"/>
                <w:rFonts w:hint="eastAsia" w:ascii="宋体" w:hAnsi="宋体" w:eastAsia="宋体"/>
                <w:color w:val="auto"/>
                <w:kern w:val="2"/>
                <w:sz w:val="21"/>
                <w:szCs w:val="22"/>
                <w:highlight w:val="none"/>
              </w:rPr>
            </w:pPr>
            <w:r>
              <w:rPr>
                <w:rStyle w:val="6"/>
                <w:rFonts w:hint="eastAsia" w:ascii="宋体" w:hAnsi="宋体" w:eastAsia="宋体"/>
                <w:color w:val="auto"/>
                <w:kern w:val="2"/>
                <w:sz w:val="21"/>
                <w:szCs w:val="22"/>
                <w:highlight w:val="none"/>
                <w:lang w:val="en-US" w:eastAsia="zh-CN"/>
              </w:rPr>
              <w:t>实际支付给职工的应付职工薪酬</w:t>
            </w:r>
            <w:r>
              <w:rPr>
                <w:rStyle w:val="6"/>
                <w:rFonts w:hint="eastAsia" w:ascii="宋体" w:hAnsi="宋体" w:eastAsia="宋体"/>
                <w:color w:val="auto"/>
                <w:kern w:val="2"/>
                <w:sz w:val="21"/>
                <w:szCs w:val="22"/>
                <w:highlight w:val="none"/>
              </w:rPr>
              <w:t>（</w:t>
            </w:r>
            <w:r>
              <w:rPr>
                <w:rStyle w:val="6"/>
                <w:rFonts w:hint="eastAsia" w:ascii="宋体" w:hAnsi="宋体" w:eastAsia="宋体"/>
                <w:color w:val="auto"/>
                <w:kern w:val="2"/>
                <w:sz w:val="21"/>
                <w:szCs w:val="22"/>
                <w:highlight w:val="none"/>
                <w:lang w:val="en-US" w:eastAsia="zh-CN"/>
              </w:rPr>
              <w:t>单位：</w:t>
            </w:r>
            <w:r>
              <w:rPr>
                <w:rStyle w:val="6"/>
                <w:rFonts w:hint="eastAsia" w:ascii="宋体" w:hAnsi="宋体" w:eastAsia="宋体"/>
                <w:color w:val="auto"/>
                <w:kern w:val="2"/>
                <w:sz w:val="21"/>
                <w:szCs w:val="22"/>
                <w:highlight w:val="none"/>
              </w:rPr>
              <w:t>元）</w:t>
            </w:r>
          </w:p>
        </w:tc>
        <w:tc>
          <w:tcPr>
            <w:tcW w:w="1275" w:type="dxa"/>
            <w:vMerge w:val="continue"/>
            <w:tcBorders>
              <w:top w:val="single" w:color="auto" w:sz="4" w:space="0"/>
              <w:left w:val="single" w:color="auto" w:sz="6" w:space="0"/>
              <w:bottom w:val="single" w:color="auto" w:sz="6" w:space="0"/>
              <w:right w:val="single" w:color="auto" w:sz="12" w:space="0"/>
            </w:tcBorders>
            <w:noWrap w:val="0"/>
            <w:vAlign w:val="center"/>
          </w:tcPr>
          <w:p>
            <w:pPr>
              <w:pStyle w:val="8"/>
              <w:snapToGrid w:val="0"/>
              <w:spacing w:line="260" w:lineRule="exact"/>
              <w:textAlignment w:val="baseline"/>
              <w:rPr>
                <w:rStyle w:val="6"/>
                <w:rFonts w:hint="eastAsia" w:ascii="宋体" w:hAnsi="宋体" w:eastAsia="宋体"/>
                <w:color w:val="auto"/>
                <w:kern w:val="2"/>
                <w:sz w:val="21"/>
                <w:szCs w:val="22"/>
                <w:highlight w:val="none"/>
              </w:rPr>
            </w:pPr>
          </w:p>
        </w:tc>
      </w:tr>
      <w:tr>
        <w:tblPrEx>
          <w:tblCellMar>
            <w:top w:w="0" w:type="dxa"/>
            <w:left w:w="108" w:type="dxa"/>
            <w:bottom w:w="0" w:type="dxa"/>
            <w:right w:w="108" w:type="dxa"/>
          </w:tblCellMar>
        </w:tblPrEx>
        <w:trPr>
          <w:trHeight w:val="273"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top"/>
          </w:tcPr>
          <w:p>
            <w:pPr>
              <w:pStyle w:val="8"/>
              <w:snapToGrid w:val="0"/>
              <w:spacing w:line="260" w:lineRule="exact"/>
              <w:jc w:val="center"/>
              <w:textAlignment w:val="baseline"/>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rPr>
              <w:t>事项2</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bidi w:val="0"/>
              <w:snapToGrid w:val="0"/>
              <w:spacing w:line="260" w:lineRule="exact"/>
              <w:textAlignment w:val="baseline"/>
              <w:rPr>
                <w:rFonts w:hint="default" w:ascii="宋体" w:hAnsi="宋体" w:eastAsia="宋体"/>
                <w:color w:val="auto"/>
                <w:kern w:val="2"/>
                <w:sz w:val="21"/>
                <w:szCs w:val="22"/>
                <w:highlight w:val="none"/>
                <w:lang w:val="en-US" w:eastAsia="zh-CN" w:bidi="ar-SA"/>
              </w:rPr>
            </w:pPr>
            <w:r>
              <w:rPr>
                <w:rStyle w:val="6"/>
                <w:rFonts w:hint="eastAsia" w:ascii="宋体" w:hAnsi="宋体" w:eastAsia="宋体"/>
                <w:color w:val="auto"/>
                <w:kern w:val="2"/>
                <w:sz w:val="21"/>
                <w:szCs w:val="22"/>
                <w:highlight w:val="none"/>
              </w:rPr>
              <w:t>☐出口</w:t>
            </w:r>
            <w:r>
              <w:rPr>
                <w:rStyle w:val="6"/>
                <w:rFonts w:hint="eastAsia" w:ascii="宋体" w:hAnsi="宋体" w:eastAsia="宋体"/>
                <w:color w:val="auto"/>
                <w:kern w:val="2"/>
                <w:sz w:val="21"/>
                <w:szCs w:val="22"/>
                <w:highlight w:val="none"/>
                <w:lang w:val="en-US" w:eastAsia="zh-CN"/>
              </w:rPr>
              <w:t>方式</w:t>
            </w:r>
            <w:r>
              <w:rPr>
                <w:rStyle w:val="6"/>
                <w:rFonts w:hint="eastAsia" w:ascii="宋体" w:hAnsi="宋体" w:eastAsia="宋体"/>
                <w:color w:val="auto"/>
                <w:kern w:val="2"/>
                <w:sz w:val="21"/>
                <w:szCs w:val="22"/>
                <w:highlight w:val="none"/>
              </w:rPr>
              <w:t>（</w:t>
            </w:r>
            <w:r>
              <w:rPr>
                <w:rStyle w:val="6"/>
                <w:rFonts w:hint="eastAsia" w:ascii="宋体" w:hAnsi="宋体" w:eastAsia="宋体"/>
                <w:color w:val="auto"/>
                <w:kern w:val="2"/>
                <w:sz w:val="21"/>
                <w:szCs w:val="22"/>
                <w:highlight w:val="none"/>
                <w:lang w:val="en-US" w:eastAsia="zh-CN"/>
              </w:rPr>
              <w:t>复</w:t>
            </w:r>
            <w:r>
              <w:rPr>
                <w:rStyle w:val="6"/>
                <w:rFonts w:hint="eastAsia" w:ascii="宋体" w:hAnsi="宋体" w:eastAsia="宋体"/>
                <w:color w:val="auto"/>
                <w:kern w:val="2"/>
                <w:sz w:val="21"/>
                <w:szCs w:val="22"/>
                <w:highlight w:val="none"/>
              </w:rPr>
              <w:t>选：</w:t>
            </w:r>
            <w:r>
              <w:rPr>
                <w:rFonts w:hint="eastAsia" w:ascii="宋体" w:hAnsi="宋体" w:eastAsia="宋体"/>
                <w:color w:val="auto"/>
                <w:kern w:val="2"/>
                <w:sz w:val="21"/>
                <w:szCs w:val="22"/>
                <w:highlight w:val="none"/>
                <w:lang w:eastAsia="zh-CN"/>
              </w:rPr>
              <w:t>发生了自营出口业务</w:t>
            </w:r>
            <w:r>
              <w:rPr>
                <w:rFonts w:ascii="宋体" w:hAnsi="宋体" w:eastAsia="宋体" w:cs="宋体"/>
                <w:color w:val="auto"/>
                <w:sz w:val="20"/>
                <w:szCs w:val="20"/>
                <w:highlight w:val="none"/>
              </w:rPr>
              <w:t>\</w:t>
            </w:r>
            <w:r>
              <w:rPr>
                <w:rFonts w:hint="eastAsia" w:ascii="宋体" w:hAnsi="宋体" w:eastAsia="宋体"/>
                <w:color w:val="auto"/>
                <w:kern w:val="2"/>
                <w:sz w:val="21"/>
                <w:szCs w:val="22"/>
                <w:highlight w:val="none"/>
                <w:lang w:val="en-US" w:eastAsia="zh-CN"/>
              </w:rPr>
              <w:t>发生了委托出口业务</w:t>
            </w:r>
            <w:r>
              <w:rPr>
                <w:rFonts w:ascii="宋体" w:hAnsi="宋体" w:eastAsia="宋体" w:cs="宋体"/>
                <w:color w:val="auto"/>
                <w:sz w:val="20"/>
                <w:szCs w:val="20"/>
                <w:highlight w:val="none"/>
              </w:rPr>
              <w:t>\</w:t>
            </w:r>
            <w:r>
              <w:rPr>
                <w:rFonts w:hint="eastAsia" w:ascii="宋体" w:hAnsi="宋体" w:eastAsia="宋体"/>
                <w:color w:val="auto"/>
                <w:kern w:val="2"/>
                <w:sz w:val="21"/>
                <w:szCs w:val="22"/>
                <w:highlight w:val="none"/>
                <w:lang w:val="en-US" w:eastAsia="zh-CN"/>
              </w:rPr>
              <w:t>承担了代理出口业务</w:t>
            </w:r>
            <w:r>
              <w:rPr>
                <w:rStyle w:val="6"/>
                <w:rFonts w:hint="eastAsia" w:ascii="宋体" w:hAnsi="宋体" w:eastAsia="宋体"/>
                <w:color w:val="auto"/>
                <w:kern w:val="2"/>
                <w:sz w:val="21"/>
                <w:szCs w:val="22"/>
                <w:highlight w:val="none"/>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bidi w:val="0"/>
              <w:snapToGrid w:val="0"/>
              <w:spacing w:line="260" w:lineRule="exact"/>
              <w:textAlignment w:val="baseline"/>
              <w:rPr>
                <w:rFonts w:ascii="宋体" w:hAnsi="宋体" w:eastAsia="宋体"/>
                <w:color w:val="auto"/>
                <w:kern w:val="2"/>
                <w:sz w:val="21"/>
                <w:szCs w:val="22"/>
                <w:highlight w:val="none"/>
              </w:rPr>
            </w:pPr>
          </w:p>
        </w:tc>
      </w:tr>
      <w:tr>
        <w:tblPrEx>
          <w:tblCellMar>
            <w:top w:w="0" w:type="dxa"/>
            <w:left w:w="108" w:type="dxa"/>
            <w:bottom w:w="0" w:type="dxa"/>
            <w:right w:w="108" w:type="dxa"/>
          </w:tblCellMar>
        </w:tblPrEx>
        <w:trPr>
          <w:trHeight w:val="273" w:hRule="atLeast"/>
          <w:jc w:val="center"/>
        </w:trPr>
        <w:tc>
          <w:tcPr>
            <w:tcW w:w="850" w:type="dxa"/>
            <w:tcBorders>
              <w:top w:val="single" w:color="auto" w:sz="6" w:space="0"/>
              <w:left w:val="single" w:color="auto" w:sz="12" w:space="0"/>
              <w:bottom w:val="single" w:color="auto" w:sz="12" w:space="0"/>
              <w:right w:val="single" w:color="auto" w:sz="6" w:space="0"/>
            </w:tcBorders>
            <w:noWrap w:val="0"/>
            <w:vAlign w:val="top"/>
          </w:tcPr>
          <w:p>
            <w:pPr>
              <w:pStyle w:val="8"/>
              <w:snapToGrid w:val="0"/>
              <w:spacing w:line="260" w:lineRule="exact"/>
              <w:jc w:val="center"/>
              <w:textAlignment w:val="baseline"/>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事项</w:t>
            </w:r>
            <w:r>
              <w:rPr>
                <w:rFonts w:hint="eastAsia" w:ascii="宋体" w:hAnsi="宋体" w:eastAsia="宋体" w:cs="宋体"/>
                <w:color w:val="auto"/>
                <w:sz w:val="20"/>
                <w:szCs w:val="20"/>
                <w:highlight w:val="none"/>
                <w:lang w:val="en-US" w:eastAsia="zh-CN"/>
              </w:rPr>
              <w:t>3</w:t>
            </w:r>
          </w:p>
        </w:tc>
        <w:tc>
          <w:tcPr>
            <w:tcW w:w="8648" w:type="dxa"/>
            <w:gridSpan w:val="13"/>
            <w:tcBorders>
              <w:top w:val="single" w:color="auto" w:sz="6" w:space="0"/>
              <w:left w:val="single" w:color="auto" w:sz="6" w:space="0"/>
              <w:bottom w:val="single" w:color="auto" w:sz="12" w:space="0"/>
              <w:right w:val="single" w:color="auto" w:sz="6" w:space="0"/>
            </w:tcBorders>
            <w:noWrap w:val="0"/>
            <w:vAlign w:val="center"/>
          </w:tcPr>
          <w:p>
            <w:pPr>
              <w:pStyle w:val="8"/>
              <w:snapToGrid w:val="0"/>
              <w:spacing w:line="260" w:lineRule="exact"/>
              <w:textAlignment w:val="baseline"/>
              <w:rPr>
                <w:rFonts w:ascii="宋体" w:hAnsi="宋体" w:eastAsia="宋体"/>
                <w:color w:val="auto"/>
                <w:kern w:val="2"/>
                <w:sz w:val="21"/>
                <w:szCs w:val="22"/>
                <w:highlight w:val="none"/>
              </w:rPr>
            </w:pPr>
          </w:p>
        </w:tc>
        <w:tc>
          <w:tcPr>
            <w:tcW w:w="1275" w:type="dxa"/>
            <w:tcBorders>
              <w:top w:val="single" w:color="auto" w:sz="6" w:space="0"/>
              <w:left w:val="single" w:color="auto" w:sz="6" w:space="0"/>
              <w:bottom w:val="single" w:color="auto" w:sz="12" w:space="0"/>
              <w:right w:val="single" w:color="auto" w:sz="12" w:space="0"/>
            </w:tcBorders>
            <w:noWrap w:val="0"/>
            <w:vAlign w:val="center"/>
          </w:tcPr>
          <w:p>
            <w:pPr>
              <w:pStyle w:val="8"/>
              <w:snapToGrid w:val="0"/>
              <w:spacing w:line="260" w:lineRule="exact"/>
              <w:textAlignment w:val="baseline"/>
              <w:rPr>
                <w:rFonts w:ascii="宋体" w:hAnsi="宋体" w:eastAsia="宋体"/>
                <w:color w:val="auto"/>
                <w:kern w:val="2"/>
                <w:sz w:val="21"/>
                <w:szCs w:val="22"/>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12" w:space="0"/>
              <w:left w:val="single" w:color="auto" w:sz="12" w:space="0"/>
              <w:bottom w:val="single" w:color="auto" w:sz="4" w:space="0"/>
              <w:right w:val="single" w:color="auto" w:sz="4" w:space="0"/>
            </w:tcBorders>
            <w:noWrap w:val="0"/>
            <w:vAlign w:val="center"/>
          </w:tcPr>
          <w:p>
            <w:pPr>
              <w:pStyle w:val="8"/>
              <w:snapToGrid w:val="0"/>
              <w:spacing w:line="260" w:lineRule="exact"/>
              <w:ind w:right="3360"/>
              <w:jc w:val="distribute"/>
              <w:textAlignment w:val="baseline"/>
              <w:rPr>
                <w:rFonts w:ascii="宋体" w:hAnsi="宋体" w:eastAsia="宋体"/>
                <w:b/>
                <w:bCs/>
                <w:color w:val="auto"/>
                <w:sz w:val="20"/>
                <w:szCs w:val="20"/>
                <w:highlight w:val="none"/>
              </w:rPr>
            </w:pPr>
          </w:p>
        </w:tc>
        <w:tc>
          <w:tcPr>
            <w:tcW w:w="8648" w:type="dxa"/>
            <w:gridSpan w:val="13"/>
            <w:tcBorders>
              <w:top w:val="single" w:color="auto" w:sz="12" w:space="0"/>
              <w:left w:val="single" w:color="auto" w:sz="4" w:space="0"/>
              <w:bottom w:val="single" w:color="auto" w:sz="4" w:space="0"/>
              <w:right w:val="single" w:color="auto" w:sz="4" w:space="0"/>
            </w:tcBorders>
            <w:noWrap w:val="0"/>
            <w:vAlign w:val="center"/>
          </w:tcPr>
          <w:p>
            <w:pPr>
              <w:pStyle w:val="8"/>
              <w:snapToGrid w:val="0"/>
              <w:spacing w:line="260" w:lineRule="exact"/>
              <w:ind w:left="3840" w:right="3360"/>
              <w:jc w:val="distribute"/>
              <w:textAlignment w:val="baseline"/>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预缴税款计算</w:t>
            </w:r>
          </w:p>
        </w:tc>
        <w:tc>
          <w:tcPr>
            <w:tcW w:w="1275" w:type="dxa"/>
            <w:tcBorders>
              <w:top w:val="single" w:color="auto" w:sz="12" w:space="0"/>
              <w:left w:val="single" w:color="auto" w:sz="4" w:space="0"/>
              <w:bottom w:val="single" w:color="auto" w:sz="4" w:space="0"/>
              <w:right w:val="single" w:color="auto" w:sz="12" w:space="0"/>
            </w:tcBorders>
            <w:noWrap w:val="0"/>
            <w:vAlign w:val="center"/>
          </w:tcPr>
          <w:p>
            <w:pPr>
              <w:pStyle w:val="8"/>
              <w:snapToGrid w:val="0"/>
              <w:spacing w:line="260" w:lineRule="exact"/>
              <w:jc w:val="center"/>
              <w:textAlignment w:val="baseline"/>
              <w:rPr>
                <w:rFonts w:hint="eastAsia" w:ascii="宋体" w:hAnsi="宋体" w:eastAsia="宋体"/>
                <w:b/>
                <w:bCs/>
                <w:color w:val="auto"/>
                <w:sz w:val="20"/>
                <w:szCs w:val="20"/>
                <w:highlight w:val="none"/>
                <w:lang w:val="en-US" w:eastAsia="zh-CN"/>
              </w:rPr>
            </w:pPr>
            <w:r>
              <w:rPr>
                <w:rFonts w:hint="eastAsia" w:ascii="宋体" w:hAnsi="宋体" w:eastAsia="宋体"/>
                <w:b/>
                <w:bCs/>
                <w:color w:val="auto"/>
                <w:sz w:val="20"/>
                <w:szCs w:val="20"/>
                <w:highlight w:val="none"/>
              </w:rPr>
              <w:t>本年累计</w:t>
            </w:r>
            <w:r>
              <w:rPr>
                <w:rFonts w:hint="eastAsia" w:ascii="宋体" w:hAnsi="宋体" w:eastAsia="宋体"/>
                <w:b/>
                <w:bCs/>
                <w:color w:val="auto"/>
                <w:sz w:val="20"/>
                <w:szCs w:val="20"/>
                <w:highlight w:val="none"/>
                <w:lang w:val="en-US" w:eastAsia="zh-CN"/>
              </w:rPr>
              <w:t>金额</w:t>
            </w:r>
          </w:p>
        </w:tc>
      </w:tr>
      <w:tr>
        <w:tblPrEx>
          <w:tblCellMar>
            <w:top w:w="0" w:type="dxa"/>
            <w:left w:w="108" w:type="dxa"/>
            <w:bottom w:w="0" w:type="dxa"/>
            <w:right w:w="108" w:type="dxa"/>
          </w:tblCellMar>
        </w:tblPrEx>
        <w:trPr>
          <w:trHeight w:val="227" w:hRule="atLeast"/>
          <w:jc w:val="center"/>
        </w:trPr>
        <w:tc>
          <w:tcPr>
            <w:tcW w:w="850" w:type="dxa"/>
            <w:tcBorders>
              <w:top w:val="single" w:color="auto" w:sz="4" w:space="0"/>
              <w:left w:val="single" w:color="auto" w:sz="12" w:space="0"/>
              <w:bottom w:val="single" w:color="auto" w:sz="6" w:space="0"/>
              <w:right w:val="single" w:color="auto" w:sz="4"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ascii="宋体" w:hAnsi="宋体" w:eastAsia="宋体" w:cs="宋体"/>
                <w:color w:val="auto"/>
                <w:sz w:val="20"/>
                <w:szCs w:val="20"/>
                <w:highlight w:val="none"/>
              </w:rPr>
              <w:t>1</w:t>
            </w:r>
          </w:p>
        </w:tc>
        <w:tc>
          <w:tcPr>
            <w:tcW w:w="8648" w:type="dxa"/>
            <w:gridSpan w:val="13"/>
            <w:tcBorders>
              <w:top w:val="single" w:color="auto" w:sz="4" w:space="0"/>
              <w:left w:val="single" w:color="auto" w:sz="4" w:space="0"/>
              <w:bottom w:val="single" w:color="auto" w:sz="6" w:space="0"/>
              <w:right w:val="single" w:color="auto" w:sz="4"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营业收入</w:t>
            </w:r>
          </w:p>
        </w:tc>
        <w:tc>
          <w:tcPr>
            <w:tcW w:w="1275" w:type="dxa"/>
            <w:tcBorders>
              <w:top w:val="single" w:color="auto" w:sz="4" w:space="0"/>
              <w:left w:val="single" w:color="auto" w:sz="4" w:space="0"/>
              <w:bottom w:val="single" w:color="auto" w:sz="6" w:space="0"/>
              <w:right w:val="single" w:color="auto" w:sz="12" w:space="0"/>
            </w:tcBorders>
            <w:noWrap w:val="0"/>
            <w:vAlign w:val="center"/>
          </w:tcPr>
          <w:p>
            <w:pPr>
              <w:pStyle w:val="8"/>
              <w:snapToGrid w:val="0"/>
              <w:spacing w:line="260" w:lineRule="exact"/>
              <w:jc w:val="center"/>
              <w:textAlignment w:val="baseline"/>
              <w:rPr>
                <w:rFonts w:hint="default" w:ascii="宋体" w:hAnsi="宋体" w:eastAsia="宋体"/>
                <w:color w:val="auto"/>
                <w:sz w:val="20"/>
                <w:szCs w:val="20"/>
                <w:highlight w:val="none"/>
                <w:lang w:val="en-US" w:eastAsia="zh-CN"/>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jc w:val="center"/>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1.1</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ind w:firstLine="200" w:firstLineChars="1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其中：</w:t>
            </w:r>
            <w:r>
              <w:rPr>
                <w:rFonts w:hint="eastAsia" w:ascii="宋体" w:hAnsi="宋体" w:eastAsia="宋体" w:cs="宋体"/>
                <w:color w:val="auto"/>
                <w:sz w:val="20"/>
                <w:szCs w:val="20"/>
                <w:highlight w:val="none"/>
                <w:lang w:eastAsia="zh-CN"/>
              </w:rPr>
              <w:t>自营</w:t>
            </w:r>
            <w:r>
              <w:rPr>
                <w:rFonts w:hint="eastAsia" w:ascii="宋体" w:hAnsi="宋体" w:eastAsia="宋体" w:cs="宋体"/>
                <w:color w:val="auto"/>
                <w:sz w:val="20"/>
                <w:szCs w:val="20"/>
                <w:highlight w:val="none"/>
              </w:rPr>
              <w:t>出口收入</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jc w:val="center"/>
              <w:textAlignment w:val="baseline"/>
              <w:rPr>
                <w:rStyle w:val="6"/>
                <w:rFonts w:hint="default" w:ascii="宋体" w:hAnsi="宋体" w:eastAsia="宋体" w:cs="宋体"/>
                <w:color w:val="auto"/>
                <w:sz w:val="20"/>
                <w:szCs w:val="20"/>
                <w:highlight w:val="none"/>
                <w:lang w:val="en-US" w:eastAsia="zh-CN"/>
              </w:rPr>
            </w:pPr>
            <w:r>
              <w:rPr>
                <w:rStyle w:val="6"/>
                <w:rFonts w:hint="eastAsia" w:ascii="宋体" w:hAnsi="宋体" w:eastAsia="宋体" w:cs="宋体"/>
                <w:color w:val="auto"/>
                <w:sz w:val="20"/>
                <w:szCs w:val="20"/>
                <w:highlight w:val="none"/>
                <w:lang w:val="en-US" w:eastAsia="zh-CN"/>
              </w:rPr>
              <w:t>1.2</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ind w:firstLine="200" w:firstLineChars="100"/>
              <w:textAlignment w:val="baseline"/>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      委托出口收入</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jc w:val="center"/>
              <w:textAlignment w:val="baseline"/>
              <w:rPr>
                <w:rStyle w:val="6"/>
                <w:rFonts w:hint="default" w:ascii="宋体" w:hAnsi="宋体" w:eastAsia="宋体" w:cs="宋体"/>
                <w:color w:val="auto"/>
                <w:sz w:val="20"/>
                <w:szCs w:val="20"/>
                <w:highlight w:val="none"/>
                <w:lang w:val="en-US" w:eastAsia="zh-CN"/>
              </w:rPr>
            </w:pPr>
            <w:r>
              <w:rPr>
                <w:rStyle w:val="6"/>
                <w:rFonts w:hint="eastAsia" w:ascii="宋体" w:hAnsi="宋体" w:eastAsia="宋体" w:cs="宋体"/>
                <w:color w:val="auto"/>
                <w:sz w:val="20"/>
                <w:szCs w:val="20"/>
                <w:highlight w:val="none"/>
                <w:lang w:val="en-US" w:eastAsia="zh-CN"/>
              </w:rPr>
              <w:t>1.3</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ind w:firstLine="200" w:firstLineChars="100"/>
              <w:textAlignment w:val="baseline"/>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      出口代理费收入</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hint="eastAsia" w:ascii="宋体" w:hAnsi="宋体" w:eastAsia="宋体"/>
                <w:color w:val="auto"/>
                <w:sz w:val="20"/>
                <w:szCs w:val="20"/>
                <w:highlight w:val="none"/>
                <w:lang w:val="en-US" w:eastAsia="zh-CN"/>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ascii="宋体" w:hAnsi="宋体" w:eastAsia="宋体" w:cs="宋体"/>
                <w:color w:val="auto"/>
                <w:sz w:val="20"/>
                <w:szCs w:val="20"/>
                <w:highlight w:val="none"/>
              </w:rPr>
              <w:t>2</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lang w:val="en-US" w:eastAsia="zh-CN"/>
              </w:rPr>
              <w:t>减：</w:t>
            </w:r>
            <w:r>
              <w:rPr>
                <w:rFonts w:hint="eastAsia" w:ascii="宋体" w:hAnsi="宋体" w:eastAsia="宋体" w:cs="宋体"/>
                <w:color w:val="auto"/>
                <w:sz w:val="20"/>
                <w:szCs w:val="20"/>
                <w:highlight w:val="none"/>
              </w:rPr>
              <w:t>营业成本</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hint="eastAsia"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3</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ind w:firstLine="0" w:firstLineChars="0"/>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减：</w:t>
            </w:r>
            <w:r>
              <w:rPr>
                <w:rFonts w:hint="eastAsia" w:ascii="宋体" w:hAnsi="宋体" w:eastAsia="宋体" w:cs="宋体"/>
                <w:color w:val="auto"/>
                <w:sz w:val="20"/>
                <w:szCs w:val="20"/>
                <w:highlight w:val="none"/>
              </w:rPr>
              <w:t>税金及附加</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hint="eastAsia"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4</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tabs>
                <w:tab w:val="left" w:pos="663"/>
              </w:tabs>
              <w:snapToGrid w:val="0"/>
              <w:spacing w:line="260" w:lineRule="exact"/>
              <w:ind w:firstLine="0" w:firstLineChars="0"/>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减：销售</w:t>
            </w:r>
            <w:r>
              <w:rPr>
                <w:rFonts w:hint="eastAsia" w:ascii="宋体" w:hAnsi="宋体" w:eastAsia="宋体" w:cs="宋体"/>
                <w:color w:val="auto"/>
                <w:sz w:val="20"/>
                <w:szCs w:val="20"/>
                <w:highlight w:val="none"/>
              </w:rPr>
              <w:t>费用</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Style w:val="6"/>
                <w:rFonts w:hint="default" w:ascii="宋体" w:hAnsi="宋体" w:eastAsia="宋体" w:cs="宋体"/>
                <w:color w:val="auto"/>
                <w:sz w:val="20"/>
                <w:szCs w:val="20"/>
                <w:highlight w:val="none"/>
                <w:lang w:val="en-US" w:eastAsia="zh-CN"/>
              </w:rPr>
            </w:pPr>
            <w:r>
              <w:rPr>
                <w:rStyle w:val="6"/>
                <w:rFonts w:hint="eastAsia" w:ascii="宋体" w:hAnsi="宋体" w:eastAsia="宋体" w:cs="宋体"/>
                <w:color w:val="auto"/>
                <w:sz w:val="20"/>
                <w:szCs w:val="20"/>
                <w:highlight w:val="none"/>
                <w:lang w:val="en-US" w:eastAsia="zh-CN"/>
              </w:rPr>
              <w:t>5</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tabs>
                <w:tab w:val="left" w:pos="663"/>
              </w:tabs>
              <w:snapToGrid w:val="0"/>
              <w:spacing w:line="260" w:lineRule="exact"/>
              <w:ind w:firstLine="0" w:firstLineChars="0"/>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减：管理</w:t>
            </w:r>
            <w:r>
              <w:rPr>
                <w:rFonts w:hint="eastAsia" w:ascii="宋体" w:hAnsi="宋体" w:eastAsia="宋体" w:cs="宋体"/>
                <w:color w:val="auto"/>
                <w:sz w:val="20"/>
                <w:szCs w:val="20"/>
                <w:highlight w:val="none"/>
              </w:rPr>
              <w:t>费用</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Style w:val="6"/>
                <w:rFonts w:hint="default" w:ascii="宋体" w:hAnsi="宋体" w:eastAsia="宋体" w:cs="宋体"/>
                <w:color w:val="auto"/>
                <w:sz w:val="20"/>
                <w:szCs w:val="20"/>
                <w:highlight w:val="none"/>
                <w:lang w:val="en-US" w:eastAsia="zh-CN"/>
              </w:rPr>
            </w:pPr>
            <w:r>
              <w:rPr>
                <w:rStyle w:val="6"/>
                <w:rFonts w:hint="eastAsia" w:ascii="宋体" w:hAnsi="宋体" w:eastAsia="宋体" w:cs="宋体"/>
                <w:color w:val="auto"/>
                <w:sz w:val="20"/>
                <w:szCs w:val="20"/>
                <w:highlight w:val="none"/>
                <w:lang w:val="en-US" w:eastAsia="zh-CN"/>
              </w:rPr>
              <w:t>6</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tabs>
                <w:tab w:val="left" w:pos="663"/>
              </w:tabs>
              <w:snapToGrid w:val="0"/>
              <w:spacing w:line="260" w:lineRule="exact"/>
              <w:ind w:firstLine="0" w:firstLineChars="0"/>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减：研发</w:t>
            </w:r>
            <w:r>
              <w:rPr>
                <w:rFonts w:hint="eastAsia" w:ascii="宋体" w:hAnsi="宋体" w:eastAsia="宋体" w:cs="宋体"/>
                <w:color w:val="auto"/>
                <w:sz w:val="20"/>
                <w:szCs w:val="20"/>
                <w:highlight w:val="none"/>
              </w:rPr>
              <w:t>费用</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Style w:val="6"/>
                <w:rFonts w:hint="default" w:ascii="宋体" w:hAnsi="宋体" w:eastAsia="宋体" w:cs="宋体"/>
                <w:color w:val="auto"/>
                <w:sz w:val="20"/>
                <w:szCs w:val="20"/>
                <w:highlight w:val="none"/>
                <w:lang w:val="en-US" w:eastAsia="zh-CN"/>
              </w:rPr>
            </w:pPr>
            <w:r>
              <w:rPr>
                <w:rStyle w:val="6"/>
                <w:rFonts w:hint="eastAsia" w:ascii="宋体" w:hAnsi="宋体" w:eastAsia="宋体" w:cs="宋体"/>
                <w:color w:val="auto"/>
                <w:sz w:val="20"/>
                <w:szCs w:val="20"/>
                <w:highlight w:val="none"/>
                <w:lang w:val="en-US" w:eastAsia="zh-CN"/>
              </w:rPr>
              <w:t>7</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tabs>
                <w:tab w:val="left" w:pos="663"/>
              </w:tabs>
              <w:snapToGrid w:val="0"/>
              <w:spacing w:line="260" w:lineRule="exact"/>
              <w:ind w:firstLine="0" w:firstLineChars="0"/>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减：财务</w:t>
            </w:r>
            <w:r>
              <w:rPr>
                <w:rFonts w:hint="eastAsia" w:ascii="宋体" w:hAnsi="宋体" w:eastAsia="宋体" w:cs="宋体"/>
                <w:color w:val="auto"/>
                <w:sz w:val="20"/>
                <w:szCs w:val="20"/>
                <w:highlight w:val="none"/>
              </w:rPr>
              <w:t>费用</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hint="eastAsia"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8</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加</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其他收益</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hint="eastAsia"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9</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ind w:firstLine="0"/>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加</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投资收益（</w:t>
            </w:r>
            <w:r>
              <w:rPr>
                <w:rFonts w:hint="eastAsia" w:ascii="宋体" w:hAnsi="宋体" w:eastAsia="宋体" w:cs="宋体"/>
                <w:color w:val="auto"/>
                <w:sz w:val="20"/>
                <w:szCs w:val="20"/>
                <w:highlight w:val="none"/>
                <w:lang w:val="en-US" w:eastAsia="zh-CN"/>
              </w:rPr>
              <w:t>9</w:t>
            </w:r>
            <w:r>
              <w:rPr>
                <w:rFonts w:ascii="宋体" w:hAnsi="宋体" w:eastAsia="宋体" w:cs="宋体"/>
                <w:color w:val="auto"/>
                <w:sz w:val="20"/>
                <w:szCs w:val="20"/>
                <w:highlight w:val="none"/>
              </w:rPr>
              <w:t>.1</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9</w:t>
            </w:r>
            <w:r>
              <w:rPr>
                <w:rFonts w:ascii="宋体" w:hAnsi="宋体" w:eastAsia="宋体" w:cs="宋体"/>
                <w:color w:val="auto"/>
                <w:sz w:val="20"/>
                <w:szCs w:val="20"/>
                <w:highlight w:val="none"/>
              </w:rPr>
              <w:t>.</w:t>
            </w:r>
            <w:r>
              <w:rPr>
                <w:rFonts w:hint="eastAsia" w:ascii="宋体" w:hAnsi="宋体" w:eastAsia="宋体" w:cs="宋体"/>
                <w:color w:val="auto"/>
                <w:sz w:val="20"/>
                <w:szCs w:val="20"/>
                <w:highlight w:val="none"/>
              </w:rPr>
              <w:t>2+…）</w:t>
            </w:r>
            <w:r>
              <w:rPr>
                <w:rFonts w:hint="eastAsia" w:ascii="宋体" w:hAnsi="宋体" w:eastAsia="宋体" w:cs="宋体"/>
                <w:color w:val="auto"/>
                <w:kern w:val="0"/>
                <w:sz w:val="20"/>
                <w:szCs w:val="20"/>
                <w:highlight w:val="none"/>
                <w:lang w:val="en-US" w:eastAsia="zh-CN" w:bidi="ar-SA"/>
              </w:rPr>
              <w:t>（损失以“－”号填列）</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jc w:val="center"/>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9.1</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ind w:firstLine="0"/>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(填写</w:t>
            </w:r>
            <w:r>
              <w:rPr>
                <w:rFonts w:hint="eastAsia" w:ascii="宋体" w:hAnsi="宋体" w:eastAsia="宋体" w:cs="宋体"/>
                <w:color w:val="auto"/>
                <w:sz w:val="20"/>
                <w:szCs w:val="20"/>
                <w:highlight w:val="none"/>
                <w:lang w:val="en-US" w:eastAsia="zh-CN"/>
              </w:rPr>
              <w:t>投资收益</w:t>
            </w:r>
            <w:r>
              <w:rPr>
                <w:rFonts w:hint="eastAsia" w:ascii="宋体" w:hAnsi="宋体" w:eastAsia="宋体" w:cs="宋体"/>
                <w:color w:val="auto"/>
                <w:sz w:val="20"/>
                <w:szCs w:val="20"/>
                <w:highlight w:val="none"/>
              </w:rPr>
              <w:t>事项名称)</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jc w:val="center"/>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9.2</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ind w:firstLine="0" w:firstLineChars="0"/>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(填写</w:t>
            </w:r>
            <w:r>
              <w:rPr>
                <w:rFonts w:hint="eastAsia" w:ascii="宋体" w:hAnsi="宋体" w:eastAsia="宋体" w:cs="宋体"/>
                <w:color w:val="auto"/>
                <w:sz w:val="20"/>
                <w:szCs w:val="20"/>
                <w:highlight w:val="none"/>
                <w:lang w:val="en-US" w:eastAsia="zh-CN"/>
              </w:rPr>
              <w:t>投资收益</w:t>
            </w:r>
            <w:r>
              <w:rPr>
                <w:rFonts w:hint="eastAsia" w:ascii="宋体" w:hAnsi="宋体" w:eastAsia="宋体" w:cs="宋体"/>
                <w:color w:val="auto"/>
                <w:sz w:val="20"/>
                <w:szCs w:val="20"/>
                <w:highlight w:val="none"/>
              </w:rPr>
              <w:t>事项名称)</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hint="default" w:ascii="宋体" w:hAnsi="宋体" w:eastAsia="宋体" w:cs="宋体"/>
                <w:color w:val="auto"/>
                <w:sz w:val="20"/>
                <w:szCs w:val="20"/>
                <w:highlight w:val="none"/>
                <w:lang w:val="en-US"/>
              </w:rPr>
            </w:pPr>
            <w:r>
              <w:rPr>
                <w:rStyle w:val="6"/>
                <w:rFonts w:hint="eastAsia" w:ascii="宋体" w:hAnsi="宋体" w:eastAsia="宋体" w:cs="宋体"/>
                <w:color w:val="auto"/>
                <w:sz w:val="20"/>
                <w:szCs w:val="20"/>
                <w:highlight w:val="none"/>
                <w:lang w:val="en-US" w:eastAsia="zh-CN"/>
              </w:rPr>
              <w:t>10</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ind w:firstLine="0" w:firstLineChars="0"/>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加</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净敞口套期收益</w:t>
            </w:r>
            <w:r>
              <w:rPr>
                <w:rFonts w:hint="eastAsia" w:ascii="宋体" w:hAnsi="宋体" w:eastAsia="宋体" w:cs="宋体"/>
                <w:color w:val="auto"/>
                <w:kern w:val="0"/>
                <w:sz w:val="20"/>
                <w:szCs w:val="20"/>
                <w:highlight w:val="none"/>
                <w:lang w:val="en-US" w:eastAsia="zh-CN" w:bidi="ar-SA"/>
              </w:rPr>
              <w:t>（损失以“－”号填列）</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hint="default" w:ascii="宋体" w:hAnsi="宋体" w:eastAsia="宋体" w:cs="宋体"/>
                <w:color w:val="auto"/>
                <w:sz w:val="20"/>
                <w:szCs w:val="20"/>
                <w:highlight w:val="none"/>
                <w:lang w:val="en-US"/>
              </w:rPr>
            </w:pPr>
            <w:r>
              <w:rPr>
                <w:rStyle w:val="6"/>
                <w:rFonts w:hint="eastAsia" w:ascii="宋体" w:hAnsi="宋体" w:eastAsia="宋体" w:cs="宋体"/>
                <w:color w:val="auto"/>
                <w:sz w:val="20"/>
                <w:szCs w:val="20"/>
                <w:highlight w:val="none"/>
                <w:lang w:val="en-US" w:eastAsia="zh-CN"/>
              </w:rPr>
              <w:t>11</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tabs>
                <w:tab w:val="left" w:pos="753"/>
              </w:tabs>
              <w:snapToGrid w:val="0"/>
              <w:spacing w:line="260" w:lineRule="exact"/>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加</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公允价值变动收益</w:t>
            </w:r>
            <w:r>
              <w:rPr>
                <w:rFonts w:hint="eastAsia" w:ascii="宋体" w:hAnsi="宋体" w:eastAsia="宋体" w:cs="宋体"/>
                <w:color w:val="auto"/>
                <w:kern w:val="0"/>
                <w:sz w:val="20"/>
                <w:szCs w:val="20"/>
                <w:highlight w:val="none"/>
                <w:lang w:val="en-US" w:eastAsia="zh-CN" w:bidi="ar-SA"/>
              </w:rPr>
              <w:t>（损失以“－”号填列）</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hint="default" w:ascii="宋体" w:hAnsi="宋体" w:eastAsia="宋体" w:cs="宋体"/>
                <w:color w:val="auto"/>
                <w:sz w:val="20"/>
                <w:szCs w:val="20"/>
                <w:highlight w:val="none"/>
                <w:lang w:val="en-US"/>
              </w:rPr>
            </w:pPr>
            <w:r>
              <w:rPr>
                <w:rStyle w:val="6"/>
                <w:rFonts w:hint="eastAsia" w:ascii="宋体" w:hAnsi="宋体" w:eastAsia="宋体" w:cs="宋体"/>
                <w:color w:val="auto"/>
                <w:sz w:val="20"/>
                <w:szCs w:val="20"/>
                <w:highlight w:val="none"/>
                <w:lang w:val="en-US" w:eastAsia="zh-CN"/>
              </w:rPr>
              <w:t>12</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加</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信用减值损失</w:t>
            </w:r>
            <w:r>
              <w:rPr>
                <w:rFonts w:hint="eastAsia" w:ascii="宋体" w:hAnsi="宋体" w:eastAsia="宋体" w:cs="宋体"/>
                <w:color w:val="auto"/>
                <w:kern w:val="0"/>
                <w:sz w:val="20"/>
                <w:szCs w:val="20"/>
                <w:highlight w:val="none"/>
                <w:lang w:val="en-US" w:eastAsia="zh-CN" w:bidi="ar-SA"/>
              </w:rPr>
              <w:t>（损失以“－”号填列）</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Style w:val="6"/>
                <w:rFonts w:hint="default" w:ascii="宋体" w:hAnsi="宋体" w:eastAsia="宋体" w:cs="宋体"/>
                <w:color w:val="auto"/>
                <w:sz w:val="20"/>
                <w:szCs w:val="20"/>
                <w:highlight w:val="none"/>
                <w:lang w:val="en-US" w:eastAsia="zh-CN"/>
              </w:rPr>
            </w:pPr>
            <w:r>
              <w:rPr>
                <w:rStyle w:val="6"/>
                <w:rFonts w:hint="eastAsia" w:ascii="宋体" w:hAnsi="宋体" w:eastAsia="宋体" w:cs="宋体"/>
                <w:color w:val="auto"/>
                <w:sz w:val="20"/>
                <w:szCs w:val="20"/>
                <w:highlight w:val="none"/>
                <w:lang w:val="en-US" w:eastAsia="zh-CN"/>
              </w:rPr>
              <w:t>13</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rPr>
              <w:t>加</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资产减值损失</w:t>
            </w:r>
            <w:r>
              <w:rPr>
                <w:rFonts w:hint="eastAsia" w:ascii="宋体" w:hAnsi="宋体" w:eastAsia="宋体" w:cs="宋体"/>
                <w:color w:val="auto"/>
                <w:kern w:val="0"/>
                <w:sz w:val="20"/>
                <w:szCs w:val="20"/>
                <w:highlight w:val="none"/>
                <w:lang w:val="en-US" w:eastAsia="zh-CN" w:bidi="ar-SA"/>
              </w:rPr>
              <w:t>（损失以“－”号填列）</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14</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加</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资产处置收益</w:t>
            </w:r>
            <w:r>
              <w:rPr>
                <w:rFonts w:hint="eastAsia" w:ascii="宋体" w:hAnsi="宋体" w:eastAsia="宋体" w:cs="宋体"/>
                <w:color w:val="auto"/>
                <w:kern w:val="0"/>
                <w:sz w:val="20"/>
                <w:szCs w:val="20"/>
                <w:highlight w:val="none"/>
                <w:lang w:val="en-US" w:eastAsia="zh-CN" w:bidi="ar-SA"/>
              </w:rPr>
              <w:t>（损失以“－”号填列）</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Style w:val="6"/>
                <w:rFonts w:hint="default" w:ascii="宋体" w:hAnsi="宋体" w:eastAsia="宋体" w:cs="宋体"/>
                <w:color w:val="auto"/>
                <w:sz w:val="20"/>
                <w:szCs w:val="20"/>
                <w:highlight w:val="none"/>
                <w:lang w:val="en-US" w:eastAsia="zh-CN"/>
              </w:rPr>
            </w:pPr>
            <w:r>
              <w:rPr>
                <w:rStyle w:val="6"/>
                <w:rFonts w:hint="eastAsia" w:ascii="宋体" w:hAnsi="宋体" w:eastAsia="宋体" w:cs="宋体"/>
                <w:color w:val="auto"/>
                <w:sz w:val="20"/>
                <w:szCs w:val="20"/>
                <w:highlight w:val="none"/>
                <w:lang w:val="en-US" w:eastAsia="zh-CN"/>
              </w:rPr>
              <w:t>15</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营业利润（亏损以</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号填列）</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16</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加</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营业外收入</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17</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减</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营业外支出</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hint="default" w:ascii="宋体" w:hAnsi="宋体" w:eastAsia="宋体" w:cs="宋体"/>
                <w:color w:val="auto"/>
                <w:sz w:val="20"/>
                <w:szCs w:val="20"/>
                <w:highlight w:val="none"/>
                <w:lang w:val="en-US" w:eastAsia="zh-CN"/>
              </w:rPr>
            </w:pPr>
            <w:r>
              <w:rPr>
                <w:rStyle w:val="6"/>
                <w:rFonts w:hint="eastAsia" w:ascii="宋体" w:hAnsi="宋体" w:eastAsia="宋体" w:cs="宋体"/>
                <w:color w:val="auto"/>
                <w:sz w:val="20"/>
                <w:szCs w:val="20"/>
                <w:highlight w:val="none"/>
                <w:lang w:val="en-US" w:eastAsia="zh-CN"/>
              </w:rPr>
              <w:t>18</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hint="eastAsia" w:ascii="宋体" w:hAnsi="宋体" w:eastAsia="宋体"/>
                <w:color w:val="auto"/>
                <w:sz w:val="20"/>
                <w:szCs w:val="20"/>
                <w:highlight w:val="none"/>
                <w:lang w:eastAsia="zh-CN"/>
              </w:rPr>
            </w:pPr>
            <w:r>
              <w:rPr>
                <w:rFonts w:hint="eastAsia" w:ascii="宋体" w:hAnsi="宋体" w:eastAsia="宋体" w:cs="宋体"/>
                <w:color w:val="auto"/>
                <w:sz w:val="20"/>
                <w:szCs w:val="20"/>
                <w:highlight w:val="none"/>
              </w:rPr>
              <w:t>利润总额</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15+16-17</w:t>
            </w:r>
            <w:r>
              <w:rPr>
                <w:rFonts w:hint="eastAsia" w:ascii="宋体" w:hAnsi="宋体" w:eastAsia="宋体" w:cs="宋体"/>
                <w:color w:val="auto"/>
                <w:sz w:val="20"/>
                <w:szCs w:val="20"/>
                <w:highlight w:val="none"/>
                <w:lang w:eastAsia="zh-CN"/>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19</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加：特定业务计算的应纳税所得额</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jc w:val="center"/>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19.1</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ind w:firstLine="203"/>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其中：</w:t>
            </w:r>
            <w:bookmarkStart w:id="9" w:name="_GoBack"/>
            <w:r>
              <w:rPr>
                <w:rFonts w:hint="eastAsia" w:ascii="宋体" w:hAnsi="宋体" w:eastAsia="宋体" w:cs="宋体"/>
                <w:color w:val="auto"/>
                <w:sz w:val="20"/>
                <w:szCs w:val="20"/>
                <w:highlight w:val="none"/>
              </w:rPr>
              <w:t>销售未完工产品</w:t>
            </w:r>
            <w:bookmarkEnd w:id="9"/>
            <w:r>
              <w:rPr>
                <w:rFonts w:hint="eastAsia" w:ascii="宋体" w:hAnsi="宋体" w:eastAsia="宋体" w:cs="宋体"/>
                <w:color w:val="auto"/>
                <w:sz w:val="20"/>
                <w:szCs w:val="20"/>
                <w:highlight w:val="none"/>
              </w:rPr>
              <w:t>的收入</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20</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减：不征税收入</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jc w:val="center"/>
              <w:textAlignment w:val="baseline"/>
              <w:rPr>
                <w:rFonts w:hint="eastAsia"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21</w:t>
            </w:r>
          </w:p>
        </w:tc>
        <w:tc>
          <w:tcPr>
            <w:tcW w:w="8648" w:type="dxa"/>
            <w:gridSpan w:val="13"/>
            <w:tcBorders>
              <w:top w:val="single" w:color="auto" w:sz="6" w:space="0"/>
              <w:left w:val="single" w:color="auto" w:sz="6" w:space="0"/>
              <w:bottom w:val="single" w:color="auto" w:sz="6" w:space="0"/>
              <w:right w:val="single" w:color="auto" w:sz="6" w:space="0"/>
            </w:tcBorders>
            <w:noWrap w:val="0"/>
            <w:vAlign w:val="top"/>
          </w:tcPr>
          <w:p>
            <w:pPr>
              <w:pStyle w:val="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减：资产加速折旧、摊销（扣除）调减额（填写</w:t>
            </w:r>
            <w:r>
              <w:rPr>
                <w:rFonts w:ascii="宋体" w:hAnsi="宋体" w:eastAsia="宋体" w:cs="宋体"/>
                <w:color w:val="auto"/>
                <w:sz w:val="20"/>
                <w:szCs w:val="20"/>
                <w:highlight w:val="none"/>
              </w:rPr>
              <w:t>A201020</w:t>
            </w:r>
            <w:r>
              <w:rPr>
                <w:rFonts w:hint="eastAsia" w:ascii="宋体" w:hAnsi="宋体" w:eastAsia="宋体" w:cs="宋体"/>
                <w:color w:val="auto"/>
                <w:sz w:val="20"/>
                <w:szCs w:val="20"/>
                <w:highlight w:val="none"/>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nil"/>
              <w:left w:val="single" w:color="auto" w:sz="12" w:space="0"/>
              <w:bottom w:val="single" w:color="auto" w:sz="6" w:space="0"/>
              <w:right w:val="single" w:color="auto" w:sz="6" w:space="0"/>
            </w:tcBorders>
            <w:noWrap w:val="0"/>
            <w:vAlign w:val="center"/>
          </w:tcPr>
          <w:p>
            <w:pPr>
              <w:pStyle w:val="8"/>
              <w:bidi w:val="0"/>
              <w:snapToGrid w:val="0"/>
              <w:spacing w:line="260" w:lineRule="exact"/>
              <w:jc w:val="center"/>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22</w:t>
            </w:r>
          </w:p>
        </w:tc>
        <w:tc>
          <w:tcPr>
            <w:tcW w:w="8648" w:type="dxa"/>
            <w:gridSpan w:val="13"/>
            <w:tcBorders>
              <w:top w:val="nil"/>
              <w:left w:val="single" w:color="auto" w:sz="6" w:space="0"/>
              <w:bottom w:val="single" w:color="auto" w:sz="6" w:space="0"/>
              <w:right w:val="single" w:color="auto" w:sz="6" w:space="0"/>
            </w:tcBorders>
            <w:noWrap w:val="0"/>
            <w:vAlign w:val="top"/>
          </w:tcPr>
          <w:p>
            <w:pPr>
              <w:pStyle w:val="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减：免税收入、减计收入、加计扣除（</w:t>
            </w:r>
            <w:r>
              <w:rPr>
                <w:rFonts w:hint="eastAsia" w:ascii="宋体" w:hAnsi="宋体" w:eastAsia="宋体" w:cs="宋体"/>
                <w:color w:val="auto"/>
                <w:sz w:val="20"/>
                <w:szCs w:val="20"/>
                <w:highlight w:val="none"/>
                <w:lang w:val="en-US" w:eastAsia="zh-CN"/>
              </w:rPr>
              <w:t>22</w:t>
            </w:r>
            <w:r>
              <w:rPr>
                <w:rFonts w:ascii="宋体" w:hAnsi="宋体" w:eastAsia="宋体" w:cs="宋体"/>
                <w:color w:val="auto"/>
                <w:sz w:val="20"/>
                <w:szCs w:val="20"/>
                <w:highlight w:val="none"/>
              </w:rPr>
              <w:t>.1</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22</w:t>
            </w:r>
            <w:r>
              <w:rPr>
                <w:rFonts w:ascii="宋体" w:hAnsi="宋体" w:eastAsia="宋体" w:cs="宋体"/>
                <w:color w:val="auto"/>
                <w:sz w:val="20"/>
                <w:szCs w:val="20"/>
                <w:highlight w:val="none"/>
              </w:rPr>
              <w:t>.</w:t>
            </w:r>
            <w:r>
              <w:rPr>
                <w:rFonts w:hint="eastAsia" w:ascii="宋体" w:hAnsi="宋体" w:eastAsia="宋体" w:cs="宋体"/>
                <w:color w:val="auto"/>
                <w:sz w:val="20"/>
                <w:szCs w:val="20"/>
                <w:highlight w:val="none"/>
              </w:rPr>
              <w:t>2+…）</w:t>
            </w:r>
          </w:p>
        </w:tc>
        <w:tc>
          <w:tcPr>
            <w:tcW w:w="1275" w:type="dxa"/>
            <w:tcBorders>
              <w:top w:val="nil"/>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jc w:val="center"/>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22.1</w:t>
            </w:r>
          </w:p>
        </w:tc>
        <w:tc>
          <w:tcPr>
            <w:tcW w:w="8648" w:type="dxa"/>
            <w:gridSpan w:val="13"/>
            <w:tcBorders>
              <w:top w:val="single" w:color="auto" w:sz="6" w:space="0"/>
              <w:left w:val="single" w:color="auto" w:sz="6" w:space="0"/>
              <w:bottom w:val="single" w:color="auto" w:sz="6" w:space="0"/>
              <w:right w:val="single" w:color="auto" w:sz="6" w:space="0"/>
            </w:tcBorders>
            <w:noWrap w:val="0"/>
            <w:vAlign w:val="top"/>
          </w:tcPr>
          <w:p>
            <w:pPr>
              <w:pStyle w:val="8"/>
              <w:rPr>
                <w:rFonts w:ascii="宋体" w:hAnsi="宋体" w:eastAsia="宋体"/>
                <w:color w:val="auto"/>
                <w:highlight w:val="none"/>
              </w:rPr>
            </w:pPr>
            <w:r>
              <w:rPr>
                <w:rFonts w:hint="eastAsia" w:ascii="宋体" w:hAnsi="宋体" w:eastAsia="宋体" w:cs="宋体"/>
                <w:color w:val="auto"/>
                <w:sz w:val="20"/>
                <w:szCs w:val="20"/>
                <w:highlight w:val="none"/>
              </w:rPr>
              <w:t>（填写优惠事项名称）</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jc w:val="center"/>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22.2</w:t>
            </w:r>
          </w:p>
        </w:tc>
        <w:tc>
          <w:tcPr>
            <w:tcW w:w="8648" w:type="dxa"/>
            <w:gridSpan w:val="13"/>
            <w:tcBorders>
              <w:top w:val="single" w:color="auto" w:sz="6" w:space="0"/>
              <w:left w:val="single" w:color="auto" w:sz="6" w:space="0"/>
              <w:bottom w:val="single" w:color="auto" w:sz="6" w:space="0"/>
              <w:right w:val="single" w:color="auto" w:sz="6" w:space="0"/>
            </w:tcBorders>
            <w:noWrap w:val="0"/>
            <w:vAlign w:val="top"/>
          </w:tcPr>
          <w:p>
            <w:pPr>
              <w:pStyle w:val="8"/>
              <w:rPr>
                <w:rFonts w:ascii="宋体" w:hAnsi="宋体" w:eastAsia="宋体"/>
                <w:color w:val="auto"/>
                <w:highlight w:val="none"/>
              </w:rPr>
            </w:pPr>
            <w:r>
              <w:rPr>
                <w:rFonts w:hint="eastAsia" w:ascii="宋体" w:hAnsi="宋体" w:eastAsia="宋体" w:cs="宋体"/>
                <w:color w:val="auto"/>
                <w:sz w:val="20"/>
                <w:szCs w:val="20"/>
                <w:highlight w:val="none"/>
              </w:rPr>
              <w:t>（填写优惠事项名称）</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23</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s="宋体"/>
                <w:color w:val="auto"/>
                <w:sz w:val="20"/>
                <w:szCs w:val="20"/>
                <w:highlight w:val="none"/>
              </w:rPr>
            </w:pPr>
            <w:bookmarkStart w:id="1" w:name="_Hlk61619239"/>
            <w:r>
              <w:rPr>
                <w:rFonts w:hint="eastAsia" w:ascii="宋体" w:hAnsi="宋体" w:eastAsia="宋体" w:cs="宋体"/>
                <w:color w:val="auto"/>
                <w:sz w:val="20"/>
                <w:szCs w:val="20"/>
                <w:highlight w:val="none"/>
              </w:rPr>
              <w:t>减：</w:t>
            </w:r>
            <w:bookmarkEnd w:id="1"/>
            <w:r>
              <w:rPr>
                <w:rFonts w:hint="eastAsia" w:ascii="宋体" w:hAnsi="宋体" w:eastAsia="宋体" w:cs="宋体"/>
                <w:color w:val="auto"/>
                <w:sz w:val="20"/>
                <w:szCs w:val="20"/>
                <w:highlight w:val="none"/>
              </w:rPr>
              <w:t>所得减免（</w:t>
            </w:r>
            <w:r>
              <w:rPr>
                <w:rFonts w:hint="eastAsia" w:ascii="宋体" w:hAnsi="宋体" w:eastAsia="宋体" w:cs="宋体"/>
                <w:color w:val="auto"/>
                <w:sz w:val="20"/>
                <w:szCs w:val="20"/>
                <w:highlight w:val="none"/>
                <w:lang w:val="en-US" w:eastAsia="zh-CN"/>
              </w:rPr>
              <w:t>23</w:t>
            </w:r>
            <w:r>
              <w:rPr>
                <w:rFonts w:ascii="宋体" w:hAnsi="宋体" w:eastAsia="宋体" w:cs="宋体"/>
                <w:color w:val="auto"/>
                <w:sz w:val="20"/>
                <w:szCs w:val="20"/>
                <w:highlight w:val="none"/>
              </w:rPr>
              <w:t>.1</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23</w:t>
            </w:r>
            <w:r>
              <w:rPr>
                <w:rFonts w:ascii="宋体" w:hAnsi="宋体" w:eastAsia="宋体" w:cs="宋体"/>
                <w:color w:val="auto"/>
                <w:sz w:val="20"/>
                <w:szCs w:val="20"/>
                <w:highlight w:val="none"/>
              </w:rPr>
              <w:t>.2</w:t>
            </w:r>
            <w:r>
              <w:rPr>
                <w:rFonts w:hint="eastAsia" w:ascii="宋体" w:hAnsi="宋体" w:eastAsia="宋体" w:cs="宋体"/>
                <w:color w:val="auto"/>
                <w:sz w:val="20"/>
                <w:szCs w:val="20"/>
                <w:highlight w:val="none"/>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jc w:val="center"/>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23.1</w:t>
            </w:r>
          </w:p>
        </w:tc>
        <w:tc>
          <w:tcPr>
            <w:tcW w:w="8648" w:type="dxa"/>
            <w:gridSpan w:val="13"/>
            <w:tcBorders>
              <w:top w:val="single" w:color="auto" w:sz="6" w:space="0"/>
              <w:left w:val="single" w:color="auto" w:sz="6" w:space="0"/>
              <w:bottom w:val="single" w:color="auto" w:sz="6" w:space="0"/>
              <w:right w:val="single" w:color="auto" w:sz="6" w:space="0"/>
            </w:tcBorders>
            <w:noWrap w:val="0"/>
            <w:vAlign w:val="top"/>
          </w:tcPr>
          <w:p>
            <w:pPr>
              <w:pStyle w:val="8"/>
              <w:rPr>
                <w:rFonts w:ascii="宋体" w:hAnsi="宋体" w:eastAsia="宋体"/>
                <w:color w:val="auto"/>
                <w:highlight w:val="none"/>
              </w:rPr>
            </w:pPr>
            <w:r>
              <w:rPr>
                <w:rFonts w:hint="eastAsia" w:ascii="宋体" w:hAnsi="宋体" w:eastAsia="宋体" w:cs="宋体"/>
                <w:color w:val="auto"/>
                <w:sz w:val="20"/>
                <w:szCs w:val="20"/>
                <w:highlight w:val="none"/>
              </w:rPr>
              <w:t>（填写优惠事项名称）</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jc w:val="center"/>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23.2</w:t>
            </w:r>
          </w:p>
        </w:tc>
        <w:tc>
          <w:tcPr>
            <w:tcW w:w="8648" w:type="dxa"/>
            <w:gridSpan w:val="13"/>
            <w:tcBorders>
              <w:top w:val="single" w:color="auto" w:sz="6" w:space="0"/>
              <w:left w:val="single" w:color="auto" w:sz="6" w:space="0"/>
              <w:bottom w:val="single" w:color="auto" w:sz="6" w:space="0"/>
              <w:right w:val="single" w:color="auto" w:sz="6" w:space="0"/>
            </w:tcBorders>
            <w:noWrap w:val="0"/>
            <w:vAlign w:val="top"/>
          </w:tcPr>
          <w:p>
            <w:pPr>
              <w:pStyle w:val="8"/>
              <w:rPr>
                <w:rFonts w:ascii="宋体" w:hAnsi="宋体" w:eastAsia="宋体"/>
                <w:color w:val="auto"/>
                <w:highlight w:val="none"/>
              </w:rPr>
            </w:pPr>
            <w:r>
              <w:rPr>
                <w:rFonts w:hint="eastAsia" w:ascii="宋体" w:hAnsi="宋体" w:eastAsia="宋体" w:cs="宋体"/>
                <w:color w:val="auto"/>
                <w:sz w:val="20"/>
                <w:szCs w:val="20"/>
                <w:highlight w:val="none"/>
              </w:rPr>
              <w:t>（填写优惠事项名称）</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24</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减：弥补以前年度亏损</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25</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实际利润额（1</w:t>
            </w:r>
            <w:r>
              <w:rPr>
                <w:rFonts w:hint="eastAsia" w:ascii="宋体" w:hAnsi="宋体" w:eastAsia="宋体" w:cs="宋体"/>
                <w:color w:val="auto"/>
                <w:sz w:val="20"/>
                <w:szCs w:val="20"/>
                <w:highlight w:val="none"/>
                <w:lang w:val="en-US" w:eastAsia="zh-CN"/>
              </w:rPr>
              <w:t>8</w:t>
            </w:r>
            <w:r>
              <w:rPr>
                <w:rFonts w:ascii="宋体" w:hAnsi="宋体" w:eastAsia="宋体" w:cs="宋体"/>
                <w:color w:val="auto"/>
                <w:sz w:val="20"/>
                <w:szCs w:val="20"/>
                <w:highlight w:val="none"/>
              </w:rPr>
              <w:t>+</w:t>
            </w: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9</w:t>
            </w:r>
            <w:r>
              <w:rPr>
                <w:rFonts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20</w:t>
            </w:r>
            <w:r>
              <w:rPr>
                <w:rFonts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21</w:t>
            </w:r>
            <w:r>
              <w:rPr>
                <w:rFonts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22</w:t>
            </w:r>
            <w:r>
              <w:rPr>
                <w:rFonts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23</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24</w:t>
            </w:r>
            <w:r>
              <w:rPr>
                <w:rFonts w:hint="eastAsia" w:ascii="宋体" w:hAnsi="宋体" w:eastAsia="宋体" w:cs="宋体"/>
                <w:color w:val="auto"/>
                <w:sz w:val="20"/>
                <w:szCs w:val="20"/>
                <w:highlight w:val="none"/>
              </w:rPr>
              <w:t>）</w:t>
            </w:r>
            <w:r>
              <w:rPr>
                <w:rFonts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rPr>
              <w:t>按照上一纳税年度应纳税所得额平均额确定的应纳税所得额</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26</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税率</w:t>
            </w:r>
            <w:r>
              <w:rPr>
                <w:rFonts w:ascii="宋体" w:hAnsi="宋体" w:eastAsia="宋体" w:cs="宋体"/>
                <w:color w:val="auto"/>
                <w:sz w:val="20"/>
                <w:szCs w:val="20"/>
                <w:highlight w:val="none"/>
              </w:rPr>
              <w:t>(25%)</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27</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应纳所得税额（2</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28</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减：减免所得税额（2</w:t>
            </w:r>
            <w:r>
              <w:rPr>
                <w:rFonts w:hint="eastAsia" w:ascii="宋体" w:hAnsi="宋体" w:eastAsia="宋体" w:cs="宋体"/>
                <w:color w:val="auto"/>
                <w:sz w:val="20"/>
                <w:szCs w:val="20"/>
                <w:highlight w:val="none"/>
                <w:lang w:val="en-US" w:eastAsia="zh-CN"/>
              </w:rPr>
              <w:t>8</w:t>
            </w:r>
            <w:r>
              <w:rPr>
                <w:rFonts w:ascii="宋体" w:hAnsi="宋体" w:eastAsia="宋体" w:cs="宋体"/>
                <w:color w:val="auto"/>
                <w:sz w:val="20"/>
                <w:szCs w:val="20"/>
                <w:highlight w:val="none"/>
              </w:rPr>
              <w:t>.1</w:t>
            </w: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8</w:t>
            </w:r>
            <w:r>
              <w:rPr>
                <w:rFonts w:ascii="宋体" w:hAnsi="宋体" w:eastAsia="宋体" w:cs="宋体"/>
                <w:color w:val="auto"/>
                <w:sz w:val="20"/>
                <w:szCs w:val="20"/>
                <w:highlight w:val="none"/>
              </w:rPr>
              <w:t>.2</w:t>
            </w:r>
            <w:r>
              <w:rPr>
                <w:rFonts w:hint="eastAsia" w:ascii="宋体" w:hAnsi="宋体" w:eastAsia="宋体" w:cs="宋体"/>
                <w:color w:val="auto"/>
                <w:sz w:val="20"/>
                <w:szCs w:val="20"/>
                <w:highlight w:val="none"/>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jc w:val="center"/>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28.1</w:t>
            </w:r>
          </w:p>
        </w:tc>
        <w:tc>
          <w:tcPr>
            <w:tcW w:w="8648" w:type="dxa"/>
            <w:gridSpan w:val="13"/>
            <w:tcBorders>
              <w:top w:val="single" w:color="auto" w:sz="6" w:space="0"/>
              <w:left w:val="single" w:color="auto" w:sz="6" w:space="0"/>
              <w:bottom w:val="single" w:color="auto" w:sz="6" w:space="0"/>
              <w:right w:val="single" w:color="auto" w:sz="6" w:space="0"/>
            </w:tcBorders>
            <w:noWrap w:val="0"/>
            <w:vAlign w:val="top"/>
          </w:tcPr>
          <w:p>
            <w:pPr>
              <w:pStyle w:val="8"/>
              <w:rPr>
                <w:rFonts w:ascii="宋体" w:hAnsi="宋体" w:eastAsia="宋体"/>
                <w:color w:val="auto"/>
                <w:highlight w:val="none"/>
              </w:rPr>
            </w:pPr>
            <w:r>
              <w:rPr>
                <w:rFonts w:hint="eastAsia" w:ascii="宋体" w:hAnsi="宋体" w:eastAsia="宋体" w:cs="宋体"/>
                <w:color w:val="auto"/>
                <w:sz w:val="20"/>
                <w:szCs w:val="20"/>
                <w:highlight w:val="none"/>
              </w:rPr>
              <w:t>（填写优惠事项及代码）</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jc w:val="center"/>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28.2</w:t>
            </w:r>
          </w:p>
        </w:tc>
        <w:tc>
          <w:tcPr>
            <w:tcW w:w="8648" w:type="dxa"/>
            <w:gridSpan w:val="13"/>
            <w:tcBorders>
              <w:top w:val="single" w:color="auto" w:sz="6" w:space="0"/>
              <w:left w:val="single" w:color="auto" w:sz="6" w:space="0"/>
              <w:bottom w:val="single" w:color="auto" w:sz="6" w:space="0"/>
              <w:right w:val="single" w:color="auto" w:sz="6" w:space="0"/>
            </w:tcBorders>
            <w:noWrap w:val="0"/>
            <w:vAlign w:val="top"/>
          </w:tcPr>
          <w:p>
            <w:pPr>
              <w:pStyle w:val="8"/>
              <w:rPr>
                <w:rFonts w:ascii="宋体" w:hAnsi="宋体" w:eastAsia="宋体"/>
                <w:color w:val="auto"/>
                <w:highlight w:val="none"/>
              </w:rPr>
            </w:pPr>
            <w:r>
              <w:rPr>
                <w:rFonts w:hint="eastAsia" w:ascii="宋体" w:hAnsi="宋体" w:eastAsia="宋体" w:cs="宋体"/>
                <w:color w:val="auto"/>
                <w:sz w:val="20"/>
                <w:szCs w:val="20"/>
                <w:highlight w:val="none"/>
              </w:rPr>
              <w:t>（填写优惠事项及代码）</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jc w:val="center"/>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29</w:t>
            </w:r>
          </w:p>
        </w:tc>
        <w:tc>
          <w:tcPr>
            <w:tcW w:w="8648" w:type="dxa"/>
            <w:gridSpan w:val="13"/>
            <w:tcBorders>
              <w:top w:val="single" w:color="auto" w:sz="6" w:space="0"/>
              <w:left w:val="single" w:color="auto" w:sz="6" w:space="0"/>
              <w:bottom w:val="single" w:color="auto" w:sz="6" w:space="0"/>
              <w:right w:val="single" w:color="auto" w:sz="6" w:space="0"/>
            </w:tcBorders>
            <w:noWrap w:val="0"/>
            <w:vAlign w:val="top"/>
          </w:tcPr>
          <w:p>
            <w:pPr>
              <w:pStyle w:val="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减：抵免所得税额</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jc w:val="center"/>
              <w:textAlignment w:val="baseline"/>
              <w:rPr>
                <w:rFonts w:hint="eastAsia"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29.1</w:t>
            </w:r>
          </w:p>
        </w:tc>
        <w:tc>
          <w:tcPr>
            <w:tcW w:w="8648" w:type="dxa"/>
            <w:gridSpan w:val="13"/>
            <w:tcBorders>
              <w:top w:val="single" w:color="auto" w:sz="6" w:space="0"/>
              <w:left w:val="single" w:color="auto" w:sz="6" w:space="0"/>
              <w:bottom w:val="single" w:color="auto" w:sz="6" w:space="0"/>
              <w:right w:val="single" w:color="auto" w:sz="6" w:space="0"/>
            </w:tcBorders>
            <w:noWrap w:val="0"/>
            <w:vAlign w:val="top"/>
          </w:tcPr>
          <w:p>
            <w:pPr>
              <w:pStyle w:val="8"/>
              <w:bidi w:val="0"/>
              <w:ind w:firstLine="200" w:firstLineChars="100"/>
              <w:rPr>
                <w:rFonts w:hint="eastAsia"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其中：本年允许抵免专用设备投资额</w:t>
            </w:r>
            <w:r>
              <w:rPr>
                <w:rStyle w:val="6"/>
                <w:rFonts w:hint="eastAsia" w:ascii="宋体" w:hAnsi="宋体" w:eastAsia="宋体" w:cs="宋体"/>
                <w:color w:val="auto"/>
                <w:sz w:val="20"/>
                <w:szCs w:val="20"/>
                <w:highlight w:val="none"/>
                <w:u w:val="single"/>
              </w:rPr>
              <w:t>（</w:t>
            </w:r>
            <w:r>
              <w:rPr>
                <w:rStyle w:val="6"/>
                <w:rFonts w:hint="eastAsia" w:ascii="宋体" w:hAnsi="宋体" w:eastAsia="宋体" w:cs="宋体"/>
                <w:color w:val="auto"/>
                <w:sz w:val="20"/>
                <w:szCs w:val="20"/>
                <w:highlight w:val="none"/>
                <w:u w:val="single"/>
                <w:lang w:val="en-US" w:eastAsia="zh-CN"/>
              </w:rPr>
              <w:t>填写专用设备</w:t>
            </w:r>
            <w:r>
              <w:rPr>
                <w:rStyle w:val="6"/>
                <w:rFonts w:hint="eastAsia" w:ascii="宋体" w:hAnsi="宋体" w:eastAsia="宋体" w:cs="宋体"/>
                <w:color w:val="auto"/>
                <w:sz w:val="20"/>
                <w:szCs w:val="20"/>
                <w:highlight w:val="none"/>
                <w:u w:val="single"/>
              </w:rPr>
              <w:t>投资类型）</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jc w:val="center"/>
              <w:textAlignment w:val="baseline"/>
              <w:rPr>
                <w:rFonts w:hint="eastAsia"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29.2</w:t>
            </w:r>
          </w:p>
        </w:tc>
        <w:tc>
          <w:tcPr>
            <w:tcW w:w="8648" w:type="dxa"/>
            <w:gridSpan w:val="13"/>
            <w:tcBorders>
              <w:top w:val="single" w:color="auto" w:sz="6" w:space="0"/>
              <w:left w:val="single" w:color="auto" w:sz="6" w:space="0"/>
              <w:bottom w:val="single" w:color="auto" w:sz="6" w:space="0"/>
              <w:right w:val="single" w:color="auto" w:sz="6" w:space="0"/>
            </w:tcBorders>
            <w:noWrap w:val="0"/>
            <w:vAlign w:val="top"/>
          </w:tcPr>
          <w:p>
            <w:pPr>
              <w:pStyle w:val="8"/>
              <w:bidi w:val="0"/>
              <w:ind w:firstLine="800" w:firstLineChars="400"/>
              <w:rPr>
                <w:rFonts w:hint="eastAsia"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本年允许抵免专用设备投资额</w:t>
            </w:r>
            <w:r>
              <w:rPr>
                <w:rStyle w:val="6"/>
                <w:rFonts w:hint="eastAsia" w:ascii="宋体" w:hAnsi="宋体" w:eastAsia="宋体" w:cs="宋体"/>
                <w:color w:val="auto"/>
                <w:sz w:val="20"/>
                <w:szCs w:val="20"/>
                <w:highlight w:val="none"/>
                <w:u w:val="single"/>
              </w:rPr>
              <w:t>（</w:t>
            </w:r>
            <w:r>
              <w:rPr>
                <w:rStyle w:val="6"/>
                <w:rFonts w:hint="eastAsia" w:ascii="宋体" w:hAnsi="宋体" w:eastAsia="宋体" w:cs="宋体"/>
                <w:color w:val="auto"/>
                <w:sz w:val="20"/>
                <w:szCs w:val="20"/>
                <w:highlight w:val="none"/>
                <w:u w:val="single"/>
                <w:lang w:val="en-US" w:eastAsia="zh-CN"/>
              </w:rPr>
              <w:t>填写专用设备</w:t>
            </w:r>
            <w:r>
              <w:rPr>
                <w:rStyle w:val="6"/>
                <w:rFonts w:hint="eastAsia" w:ascii="宋体" w:hAnsi="宋体" w:eastAsia="宋体" w:cs="宋体"/>
                <w:color w:val="auto"/>
                <w:sz w:val="20"/>
                <w:szCs w:val="20"/>
                <w:highlight w:val="none"/>
                <w:u w:val="single"/>
              </w:rPr>
              <w:t>投资类型）</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30</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减：本年累计已预缴所得税额</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31</w:t>
            </w:r>
          </w:p>
        </w:tc>
        <w:tc>
          <w:tcPr>
            <w:tcW w:w="8648" w:type="dxa"/>
            <w:gridSpan w:val="13"/>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减：特定业务预缴（征）所得税额</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12"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32</w:t>
            </w:r>
          </w:p>
        </w:tc>
        <w:tc>
          <w:tcPr>
            <w:tcW w:w="8648" w:type="dxa"/>
            <w:gridSpan w:val="13"/>
            <w:tcBorders>
              <w:top w:val="single" w:color="auto" w:sz="6" w:space="0"/>
              <w:left w:val="single" w:color="auto" w:sz="6" w:space="0"/>
              <w:bottom w:val="single" w:color="auto" w:sz="12"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本期应补（退）所得税额（</w:t>
            </w:r>
            <w:r>
              <w:rPr>
                <w:rFonts w:hint="eastAsia" w:ascii="宋体" w:hAnsi="宋体" w:eastAsia="宋体" w:cs="宋体"/>
                <w:color w:val="auto"/>
                <w:sz w:val="20"/>
                <w:szCs w:val="20"/>
                <w:highlight w:val="none"/>
                <w:lang w:val="en-US" w:eastAsia="zh-CN"/>
              </w:rPr>
              <w:t>27-</w:t>
            </w: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8</w:t>
            </w:r>
            <w:r>
              <w:rPr>
                <w:rFonts w:ascii="宋体" w:hAnsi="宋体" w:eastAsia="宋体" w:cs="宋体"/>
                <w:color w:val="auto"/>
                <w:sz w:val="20"/>
                <w:szCs w:val="20"/>
                <w:highlight w:val="none"/>
              </w:rPr>
              <w:t>-</w:t>
            </w: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9</w:t>
            </w:r>
            <w:r>
              <w:rPr>
                <w:rFonts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30</w:t>
            </w:r>
            <w:r>
              <w:rPr>
                <w:rFonts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31</w:t>
            </w:r>
            <w:r>
              <w:rPr>
                <w:rFonts w:hint="eastAsia" w:ascii="宋体" w:hAnsi="宋体" w:eastAsia="宋体" w:cs="宋体"/>
                <w:color w:val="auto"/>
                <w:sz w:val="20"/>
                <w:szCs w:val="20"/>
                <w:highlight w:val="none"/>
              </w:rPr>
              <w:t>）</w:t>
            </w:r>
            <w:r>
              <w:rPr>
                <w:rFonts w:ascii="宋体" w:hAnsi="宋体" w:eastAsia="宋体" w:cs="宋体"/>
                <w:color w:val="auto"/>
                <w:sz w:val="20"/>
                <w:szCs w:val="20"/>
                <w:highlight w:val="none"/>
              </w:rPr>
              <w:t xml:space="preserve"> \ </w:t>
            </w:r>
            <w:r>
              <w:rPr>
                <w:rFonts w:hint="eastAsia" w:ascii="宋体" w:hAnsi="宋体" w:eastAsia="宋体" w:cs="宋体"/>
                <w:color w:val="auto"/>
                <w:sz w:val="20"/>
                <w:szCs w:val="20"/>
                <w:highlight w:val="none"/>
              </w:rPr>
              <w:t>税务机关确定的本期应纳所得税额</w:t>
            </w:r>
          </w:p>
        </w:tc>
        <w:tc>
          <w:tcPr>
            <w:tcW w:w="1275" w:type="dxa"/>
            <w:tcBorders>
              <w:top w:val="single" w:color="auto" w:sz="6" w:space="0"/>
              <w:left w:val="single" w:color="auto" w:sz="6" w:space="0"/>
              <w:bottom w:val="single" w:color="auto" w:sz="12" w:space="0"/>
              <w:right w:val="single" w:color="auto" w:sz="12"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p>
        </w:tc>
      </w:tr>
      <w:tr>
        <w:tblPrEx>
          <w:tblCellMar>
            <w:top w:w="0" w:type="dxa"/>
            <w:left w:w="108" w:type="dxa"/>
            <w:bottom w:w="0" w:type="dxa"/>
            <w:right w:w="108" w:type="dxa"/>
          </w:tblCellMar>
        </w:tblPrEx>
        <w:trPr>
          <w:trHeight w:val="142" w:hRule="atLeast"/>
          <w:jc w:val="center"/>
        </w:trPr>
        <w:tc>
          <w:tcPr>
            <w:tcW w:w="10773" w:type="dxa"/>
            <w:gridSpan w:val="15"/>
            <w:tcBorders>
              <w:top w:val="single" w:color="auto" w:sz="12" w:space="0"/>
              <w:left w:val="single" w:color="auto" w:sz="12" w:space="0"/>
              <w:bottom w:val="single" w:color="auto" w:sz="6" w:space="0"/>
              <w:right w:val="single" w:color="auto" w:sz="12" w:space="0"/>
            </w:tcBorders>
            <w:noWrap w:val="0"/>
            <w:vAlign w:val="center"/>
          </w:tcPr>
          <w:p>
            <w:pPr>
              <w:pStyle w:val="8"/>
              <w:snapToGrid w:val="0"/>
              <w:spacing w:line="260" w:lineRule="exact"/>
              <w:ind w:left="3840" w:right="3360"/>
              <w:jc w:val="distribute"/>
              <w:textAlignment w:val="baseline"/>
              <w:rPr>
                <w:rFonts w:ascii="宋体" w:hAnsi="宋体" w:eastAsia="宋体"/>
                <w:b/>
                <w:bCs/>
                <w:color w:val="auto"/>
                <w:sz w:val="20"/>
                <w:szCs w:val="20"/>
                <w:highlight w:val="none"/>
              </w:rPr>
            </w:pPr>
            <w:r>
              <w:rPr>
                <w:rFonts w:hint="eastAsia" w:ascii="宋体" w:hAnsi="宋体" w:eastAsia="宋体" w:cs="宋体"/>
                <w:b/>
                <w:bCs/>
                <w:color w:val="auto"/>
                <w:sz w:val="20"/>
                <w:szCs w:val="20"/>
                <w:highlight w:val="none"/>
              </w:rPr>
              <w:t>汇总纳税企业总分机构税款计算</w:t>
            </w: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33</w:t>
            </w:r>
          </w:p>
        </w:tc>
        <w:tc>
          <w:tcPr>
            <w:tcW w:w="710" w:type="dxa"/>
            <w:vMerge w:val="restart"/>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总机构</w:t>
            </w:r>
          </w:p>
        </w:tc>
        <w:tc>
          <w:tcPr>
            <w:tcW w:w="7938" w:type="dxa"/>
            <w:gridSpan w:val="12"/>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总机构本期分摊应补（退）所得税额（3</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+3</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+3</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b/>
                <w:bCs/>
                <w:color w:val="auto"/>
                <w:sz w:val="20"/>
                <w:szCs w:val="20"/>
                <w:highlight w:val="none"/>
              </w:rPr>
            </w:pPr>
            <w:r>
              <w:rPr>
                <w:rFonts w:hint="eastAsia" w:ascii="宋体" w:hAnsi="宋体" w:eastAsia="宋体" w:cs="宋体"/>
                <w:b/>
                <w:bCs/>
                <w:color w:val="auto"/>
                <w:sz w:val="20"/>
                <w:szCs w:val="20"/>
                <w:highlight w:val="none"/>
              </w:rPr>
              <w:t>　</w:t>
            </w: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Style w:val="6"/>
                <w:rFonts w:hint="eastAsia" w:ascii="宋体" w:hAnsi="宋体" w:eastAsia="宋体" w:cs="宋体"/>
                <w:color w:val="auto"/>
                <w:sz w:val="20"/>
                <w:szCs w:val="20"/>
                <w:highlight w:val="none"/>
                <w:lang w:val="en-US" w:eastAsia="zh-CN"/>
              </w:rPr>
              <w:t>34</w:t>
            </w:r>
          </w:p>
        </w:tc>
        <w:tc>
          <w:tcPr>
            <w:tcW w:w="710" w:type="dxa"/>
            <w:vMerge w:val="continue"/>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p>
        </w:tc>
        <w:tc>
          <w:tcPr>
            <w:tcW w:w="7938" w:type="dxa"/>
            <w:gridSpan w:val="12"/>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其中：总机构分摊应补（退）所得税额（填写A202000表）</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b/>
                <w:bCs/>
                <w:color w:val="auto"/>
                <w:sz w:val="20"/>
                <w:szCs w:val="20"/>
                <w:highlight w:val="none"/>
              </w:rPr>
            </w:pPr>
            <w:r>
              <w:rPr>
                <w:rFonts w:hint="eastAsia" w:ascii="宋体" w:hAnsi="宋体" w:eastAsia="宋体" w:cs="宋体"/>
                <w:b/>
                <w:bCs/>
                <w:color w:val="auto"/>
                <w:sz w:val="20"/>
                <w:szCs w:val="20"/>
                <w:highlight w:val="none"/>
              </w:rPr>
              <w:t>　</w:t>
            </w: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hint="default" w:ascii="宋体" w:hAnsi="宋体" w:eastAsia="宋体" w:cs="宋体"/>
                <w:color w:val="auto"/>
                <w:sz w:val="20"/>
                <w:szCs w:val="20"/>
                <w:highlight w:val="none"/>
                <w:lang w:val="en-US"/>
              </w:rPr>
            </w:pPr>
            <w:r>
              <w:rPr>
                <w:rStyle w:val="6"/>
                <w:rFonts w:hint="eastAsia" w:ascii="宋体" w:hAnsi="宋体" w:eastAsia="宋体" w:cs="宋体"/>
                <w:color w:val="auto"/>
                <w:sz w:val="20"/>
                <w:szCs w:val="20"/>
                <w:highlight w:val="none"/>
                <w:lang w:val="en-US" w:eastAsia="zh-CN"/>
              </w:rPr>
              <w:t>35</w:t>
            </w:r>
          </w:p>
        </w:tc>
        <w:tc>
          <w:tcPr>
            <w:tcW w:w="710" w:type="dxa"/>
            <w:vMerge w:val="continue"/>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p>
        </w:tc>
        <w:tc>
          <w:tcPr>
            <w:tcW w:w="7938" w:type="dxa"/>
            <w:gridSpan w:val="12"/>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ind w:left="0" w:firstLine="640" w:firstLineChars="320"/>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财政集中分配应补（退）所得税额（填写A202000表）</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b/>
                <w:bCs/>
                <w:color w:val="auto"/>
                <w:sz w:val="20"/>
                <w:szCs w:val="20"/>
                <w:highlight w:val="none"/>
              </w:rPr>
            </w:pPr>
            <w:r>
              <w:rPr>
                <w:rFonts w:hint="eastAsia" w:ascii="宋体" w:hAnsi="宋体" w:eastAsia="宋体" w:cs="宋体"/>
                <w:b/>
                <w:bCs/>
                <w:color w:val="auto"/>
                <w:sz w:val="20"/>
                <w:szCs w:val="20"/>
                <w:highlight w:val="none"/>
              </w:rPr>
              <w:t>　</w:t>
            </w:r>
          </w:p>
        </w:tc>
      </w:tr>
      <w:tr>
        <w:tblPrEx>
          <w:tblCellMar>
            <w:top w:w="0" w:type="dxa"/>
            <w:left w:w="108" w:type="dxa"/>
            <w:bottom w:w="0" w:type="dxa"/>
            <w:right w:w="108" w:type="dxa"/>
          </w:tblCellMar>
        </w:tblPrEx>
        <w:trPr>
          <w:trHeight w:val="245"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hint="default" w:ascii="宋体" w:hAnsi="宋体" w:eastAsia="宋体" w:cs="宋体"/>
                <w:color w:val="auto"/>
                <w:sz w:val="20"/>
                <w:szCs w:val="20"/>
                <w:highlight w:val="none"/>
                <w:lang w:val="en-US"/>
              </w:rPr>
            </w:pPr>
            <w:r>
              <w:rPr>
                <w:rStyle w:val="6"/>
                <w:rFonts w:hint="eastAsia" w:ascii="宋体" w:hAnsi="宋体" w:eastAsia="宋体" w:cs="宋体"/>
                <w:color w:val="auto"/>
                <w:sz w:val="20"/>
                <w:szCs w:val="20"/>
                <w:highlight w:val="none"/>
                <w:lang w:val="en-US" w:eastAsia="zh-CN"/>
              </w:rPr>
              <w:t>36</w:t>
            </w:r>
          </w:p>
        </w:tc>
        <w:tc>
          <w:tcPr>
            <w:tcW w:w="710" w:type="dxa"/>
            <w:vMerge w:val="continue"/>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p>
        </w:tc>
        <w:tc>
          <w:tcPr>
            <w:tcW w:w="7938" w:type="dxa"/>
            <w:gridSpan w:val="12"/>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ind w:left="0" w:firstLine="600" w:firstLineChars="300"/>
              <w:textAlignment w:val="baseline"/>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总机构主体生产经营部门分摊应补（退）所得税额（填写A202000表）</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b/>
                <w:bCs/>
                <w:color w:val="auto"/>
                <w:sz w:val="20"/>
                <w:szCs w:val="20"/>
                <w:highlight w:val="none"/>
              </w:rPr>
            </w:pPr>
            <w:r>
              <w:rPr>
                <w:rFonts w:hint="eastAsia" w:ascii="宋体" w:hAnsi="宋体" w:eastAsia="宋体" w:cs="宋体"/>
                <w:b/>
                <w:bCs/>
                <w:color w:val="auto"/>
                <w:sz w:val="20"/>
                <w:szCs w:val="20"/>
                <w:highlight w:val="none"/>
              </w:rPr>
              <w:t>　</w:t>
            </w: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pStyle w:val="8"/>
              <w:bidi w:val="0"/>
              <w:snapToGrid w:val="0"/>
              <w:spacing w:line="260" w:lineRule="exact"/>
              <w:ind w:right="210" w:rightChars="0"/>
              <w:jc w:val="right"/>
              <w:textAlignment w:val="baseline"/>
              <w:rPr>
                <w:rFonts w:hint="default" w:ascii="宋体" w:hAnsi="宋体" w:eastAsia="宋体" w:cs="宋体"/>
                <w:color w:val="auto"/>
                <w:sz w:val="20"/>
                <w:szCs w:val="20"/>
                <w:highlight w:val="none"/>
                <w:lang w:val="en-US"/>
              </w:rPr>
            </w:pPr>
            <w:r>
              <w:rPr>
                <w:rStyle w:val="6"/>
                <w:rFonts w:hint="eastAsia" w:ascii="宋体" w:hAnsi="宋体" w:eastAsia="宋体" w:cs="宋体"/>
                <w:color w:val="auto"/>
                <w:sz w:val="20"/>
                <w:szCs w:val="20"/>
                <w:highlight w:val="none"/>
                <w:lang w:val="en-US" w:eastAsia="zh-CN"/>
              </w:rPr>
              <w:t>37</w:t>
            </w:r>
          </w:p>
        </w:tc>
        <w:tc>
          <w:tcPr>
            <w:tcW w:w="710" w:type="dxa"/>
            <w:vMerge w:val="restart"/>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jc w:val="center"/>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分支机构</w:t>
            </w:r>
          </w:p>
        </w:tc>
        <w:tc>
          <w:tcPr>
            <w:tcW w:w="7938" w:type="dxa"/>
            <w:gridSpan w:val="12"/>
            <w:tcBorders>
              <w:top w:val="single" w:color="auto" w:sz="6" w:space="0"/>
              <w:left w:val="single" w:color="auto" w:sz="6" w:space="0"/>
              <w:bottom w:val="single" w:color="auto" w:sz="6"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分支机构本期分摊比例</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b/>
                <w:bCs/>
                <w:color w:val="auto"/>
                <w:sz w:val="20"/>
                <w:szCs w:val="20"/>
                <w:highlight w:val="none"/>
              </w:rPr>
            </w:pPr>
            <w:r>
              <w:rPr>
                <w:rFonts w:hint="eastAsia" w:ascii="宋体" w:hAnsi="宋体" w:eastAsia="宋体" w:cs="宋体"/>
                <w:b/>
                <w:bCs/>
                <w:color w:val="auto"/>
                <w:sz w:val="20"/>
                <w:szCs w:val="20"/>
                <w:highlight w:val="none"/>
              </w:rPr>
              <w:t>　</w:t>
            </w: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12" w:space="0"/>
              <w:right w:val="single" w:color="auto" w:sz="6" w:space="0"/>
            </w:tcBorders>
            <w:noWrap w:val="0"/>
            <w:vAlign w:val="center"/>
          </w:tcPr>
          <w:p>
            <w:pPr>
              <w:pStyle w:val="8"/>
              <w:bidi w:val="0"/>
              <w:snapToGrid w:val="0"/>
              <w:spacing w:line="260" w:lineRule="exact"/>
              <w:ind w:right="210" w:rightChars="0"/>
              <w:jc w:val="right"/>
              <w:textAlignment w:val="baseline"/>
              <w:rPr>
                <w:rFonts w:hint="default" w:ascii="宋体" w:hAnsi="宋体" w:eastAsia="宋体" w:cs="宋体"/>
                <w:color w:val="auto"/>
                <w:sz w:val="20"/>
                <w:szCs w:val="20"/>
                <w:highlight w:val="none"/>
                <w:lang w:val="en-US"/>
              </w:rPr>
            </w:pPr>
            <w:r>
              <w:rPr>
                <w:rStyle w:val="6"/>
                <w:rFonts w:hint="eastAsia" w:ascii="宋体" w:hAnsi="宋体" w:eastAsia="宋体" w:cs="宋体"/>
                <w:color w:val="auto"/>
                <w:sz w:val="20"/>
                <w:szCs w:val="20"/>
                <w:highlight w:val="none"/>
                <w:lang w:val="en-US" w:eastAsia="zh-CN"/>
              </w:rPr>
              <w:t>38</w:t>
            </w:r>
          </w:p>
        </w:tc>
        <w:tc>
          <w:tcPr>
            <w:tcW w:w="710" w:type="dxa"/>
            <w:vMerge w:val="continue"/>
            <w:tcBorders>
              <w:top w:val="single" w:color="auto" w:sz="6" w:space="0"/>
              <w:left w:val="single" w:color="auto" w:sz="6" w:space="0"/>
              <w:bottom w:val="single" w:color="auto" w:sz="12"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p>
        </w:tc>
        <w:tc>
          <w:tcPr>
            <w:tcW w:w="7938" w:type="dxa"/>
            <w:gridSpan w:val="12"/>
            <w:tcBorders>
              <w:top w:val="single" w:color="auto" w:sz="6" w:space="0"/>
              <w:left w:val="single" w:color="auto" w:sz="6" w:space="0"/>
              <w:bottom w:val="single" w:color="auto" w:sz="12" w:space="0"/>
              <w:right w:val="single" w:color="auto" w:sz="6" w:space="0"/>
            </w:tcBorders>
            <w:noWrap w:val="0"/>
            <w:vAlign w:val="center"/>
          </w:tcPr>
          <w:p>
            <w:pPr>
              <w:pStyle w:val="8"/>
              <w:snapToGrid w:val="0"/>
              <w:spacing w:line="26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分支机构本期分摊应补（退）所得税额</w:t>
            </w:r>
          </w:p>
        </w:tc>
        <w:tc>
          <w:tcPr>
            <w:tcW w:w="1275" w:type="dxa"/>
            <w:tcBorders>
              <w:top w:val="single" w:color="auto" w:sz="6" w:space="0"/>
              <w:left w:val="single" w:color="auto" w:sz="6" w:space="0"/>
              <w:bottom w:val="single" w:color="auto" w:sz="12" w:space="0"/>
              <w:right w:val="single" w:color="auto" w:sz="12" w:space="0"/>
            </w:tcBorders>
            <w:noWrap w:val="0"/>
            <w:vAlign w:val="center"/>
          </w:tcPr>
          <w:p>
            <w:pPr>
              <w:pStyle w:val="8"/>
              <w:snapToGrid w:val="0"/>
              <w:spacing w:line="260" w:lineRule="exact"/>
              <w:jc w:val="center"/>
              <w:textAlignment w:val="baseline"/>
              <w:rPr>
                <w:rFonts w:ascii="宋体" w:hAnsi="宋体" w:eastAsia="宋体"/>
                <w:b/>
                <w:bCs/>
                <w:color w:val="auto"/>
                <w:sz w:val="20"/>
                <w:szCs w:val="20"/>
                <w:highlight w:val="none"/>
              </w:rPr>
            </w:pPr>
            <w:r>
              <w:rPr>
                <w:rFonts w:hint="eastAsia" w:ascii="宋体" w:hAnsi="宋体" w:eastAsia="宋体" w:cs="宋体"/>
                <w:b/>
                <w:bCs/>
                <w:color w:val="auto"/>
                <w:sz w:val="20"/>
                <w:szCs w:val="20"/>
                <w:highlight w:val="none"/>
              </w:rPr>
              <w:t>　</w:t>
            </w:r>
          </w:p>
        </w:tc>
      </w:tr>
      <w:tr>
        <w:tblPrEx>
          <w:tblCellMar>
            <w:top w:w="0" w:type="dxa"/>
            <w:left w:w="108" w:type="dxa"/>
            <w:bottom w:w="0" w:type="dxa"/>
            <w:right w:w="108" w:type="dxa"/>
          </w:tblCellMar>
        </w:tblPrEx>
        <w:trPr>
          <w:trHeight w:val="303" w:hRule="atLeast"/>
          <w:jc w:val="center"/>
        </w:trPr>
        <w:tc>
          <w:tcPr>
            <w:tcW w:w="10773" w:type="dxa"/>
            <w:gridSpan w:val="15"/>
            <w:tcBorders>
              <w:top w:val="single" w:color="auto" w:sz="12" w:space="0"/>
              <w:left w:val="single" w:color="auto" w:sz="12"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实际缴纳企业所得税计算</w:t>
            </w:r>
          </w:p>
        </w:tc>
      </w:tr>
      <w:tr>
        <w:tblPrEx>
          <w:tblCellMar>
            <w:top w:w="0" w:type="dxa"/>
            <w:left w:w="108" w:type="dxa"/>
            <w:bottom w:w="0" w:type="dxa"/>
            <w:right w:w="108" w:type="dxa"/>
          </w:tblCellMar>
        </w:tblPrEx>
        <w:trPr>
          <w:trHeight w:val="303" w:hRule="atLeast"/>
          <w:jc w:val="center"/>
        </w:trPr>
        <w:tc>
          <w:tcPr>
            <w:tcW w:w="850" w:type="dxa"/>
            <w:tcBorders>
              <w:top w:val="single" w:color="auto" w:sz="6" w:space="0"/>
              <w:left w:val="single" w:color="auto" w:sz="12" w:space="0"/>
              <w:bottom w:val="single" w:color="auto" w:sz="6" w:space="0"/>
              <w:right w:val="single" w:color="auto" w:sz="4"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bidi="ar-SA"/>
              </w:rPr>
              <w:t>39</w:t>
            </w:r>
          </w:p>
        </w:tc>
        <w:tc>
          <w:tcPr>
            <w:tcW w:w="5818" w:type="dxa"/>
            <w:gridSpan w:val="10"/>
            <w:tcBorders>
              <w:top w:val="single" w:color="auto" w:sz="4" w:space="0"/>
              <w:left w:val="single" w:color="auto" w:sz="4" w:space="0"/>
              <w:bottom w:val="single" w:color="auto" w:sz="4" w:space="0"/>
              <w:right w:val="single" w:color="auto" w:sz="4" w:space="0"/>
            </w:tcBorders>
            <w:noWrap w:val="0"/>
            <w:vAlign w:val="center"/>
          </w:tcPr>
          <w:p>
            <w:pPr>
              <w:pStyle w:val="8"/>
              <w:snapToGrid w:val="0"/>
              <w:spacing w:line="260" w:lineRule="exact"/>
              <w:textAlignment w:val="baseline"/>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减：民族自治地区企业所得税地方分享部分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w:t>
            </w:r>
            <w:r>
              <w:rPr>
                <w:rFonts w:ascii="宋体" w:hAnsi="宋体" w:eastAsia="宋体" w:cs="宋体"/>
                <w:color w:val="auto"/>
                <w:sz w:val="20"/>
                <w:szCs w:val="20"/>
                <w:highlight w:val="none"/>
              </w:rPr>
              <w:t xml:space="preserve"> 免征 </w:t>
            </w:r>
            <w:r>
              <w:rPr>
                <w:rFonts w:hint="eastAsia" w:ascii="宋体" w:hAnsi="宋体" w:eastAsia="宋体" w:cs="宋体"/>
                <w:color w:val="auto"/>
                <w:sz w:val="20"/>
                <w:szCs w:val="20"/>
                <w:highlight w:val="none"/>
              </w:rPr>
              <w:t>□</w:t>
            </w:r>
            <w:r>
              <w:rPr>
                <w:rFonts w:ascii="宋体" w:hAnsi="宋体" w:eastAsia="宋体" w:cs="宋体"/>
                <w:color w:val="auto"/>
                <w:sz w:val="20"/>
                <w:szCs w:val="20"/>
                <w:highlight w:val="none"/>
              </w:rPr>
              <w:t xml:space="preserve"> 减征:减征幅度____%）</w:t>
            </w:r>
          </w:p>
        </w:tc>
        <w:tc>
          <w:tcPr>
            <w:tcW w:w="2830" w:type="dxa"/>
            <w:gridSpan w:val="3"/>
            <w:tcBorders>
              <w:top w:val="single" w:color="auto" w:sz="6" w:space="0"/>
              <w:left w:val="single" w:color="auto" w:sz="4" w:space="0"/>
              <w:bottom w:val="single" w:color="auto" w:sz="4" w:space="0"/>
              <w:right w:val="single" w:color="auto" w:sz="6" w:space="0"/>
            </w:tcBorders>
            <w:noWrap w:val="0"/>
            <w:vAlign w:val="center"/>
          </w:tcPr>
          <w:p>
            <w:pPr>
              <w:pStyle w:val="8"/>
              <w:snapToGrid w:val="0"/>
              <w:spacing w:line="260" w:lineRule="exact"/>
              <w:textAlignment w:val="baseline"/>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本期实际减免金额</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pStyle w:val="8"/>
              <w:snapToGrid w:val="0"/>
              <w:spacing w:line="260" w:lineRule="exact"/>
              <w:jc w:val="center"/>
              <w:textAlignment w:val="baseline"/>
              <w:rPr>
                <w:rFonts w:ascii="宋体" w:hAnsi="宋体" w:eastAsia="宋体" w:cs="宋体"/>
                <w:b/>
                <w:bCs/>
                <w:color w:val="auto"/>
                <w:sz w:val="20"/>
                <w:szCs w:val="20"/>
                <w:highlight w:val="none"/>
              </w:rPr>
            </w:pPr>
          </w:p>
        </w:tc>
      </w:tr>
      <w:tr>
        <w:tblPrEx>
          <w:tblCellMar>
            <w:top w:w="0" w:type="dxa"/>
            <w:left w:w="108" w:type="dxa"/>
            <w:bottom w:w="0" w:type="dxa"/>
            <w:right w:w="108" w:type="dxa"/>
          </w:tblCellMar>
        </w:tblPrEx>
        <w:trPr>
          <w:trHeight w:val="303" w:hRule="atLeast"/>
          <w:jc w:val="center"/>
        </w:trPr>
        <w:tc>
          <w:tcPr>
            <w:tcW w:w="850" w:type="dxa"/>
            <w:tcBorders>
              <w:top w:val="single" w:color="auto" w:sz="6" w:space="0"/>
              <w:left w:val="single" w:color="auto" w:sz="12" w:space="0"/>
              <w:bottom w:val="single" w:color="auto" w:sz="12" w:space="0"/>
              <w:right w:val="single" w:color="auto" w:sz="6" w:space="0"/>
            </w:tcBorders>
            <w:noWrap w:val="0"/>
            <w:vAlign w:val="center"/>
          </w:tcPr>
          <w:p>
            <w:pPr>
              <w:pStyle w:val="8"/>
              <w:bidi w:val="0"/>
              <w:snapToGrid w:val="0"/>
              <w:spacing w:line="260" w:lineRule="exact"/>
              <w:ind w:right="210" w:rightChars="0"/>
              <w:jc w:val="right"/>
              <w:textAlignment w:val="baseline"/>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bidi="ar-SA"/>
              </w:rPr>
              <w:t>40</w:t>
            </w:r>
          </w:p>
        </w:tc>
        <w:tc>
          <w:tcPr>
            <w:tcW w:w="8648" w:type="dxa"/>
            <w:gridSpan w:val="13"/>
            <w:tcBorders>
              <w:top w:val="single" w:color="auto" w:sz="6" w:space="0"/>
              <w:left w:val="single" w:color="auto" w:sz="6" w:space="0"/>
              <w:bottom w:val="single" w:color="auto" w:sz="12" w:space="0"/>
              <w:right w:val="single" w:color="auto" w:sz="6" w:space="0"/>
            </w:tcBorders>
            <w:noWrap w:val="0"/>
            <w:vAlign w:val="center"/>
          </w:tcPr>
          <w:p>
            <w:pPr>
              <w:pStyle w:val="8"/>
              <w:snapToGrid w:val="0"/>
              <w:spacing w:line="260" w:lineRule="exact"/>
              <w:textAlignment w:val="baseline"/>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实际应补（退）所得税额</w:t>
            </w:r>
          </w:p>
        </w:tc>
        <w:tc>
          <w:tcPr>
            <w:tcW w:w="1275" w:type="dxa"/>
            <w:tcBorders>
              <w:top w:val="single" w:color="auto" w:sz="6" w:space="0"/>
              <w:left w:val="single" w:color="auto" w:sz="6" w:space="0"/>
              <w:bottom w:val="single" w:color="auto" w:sz="12" w:space="0"/>
              <w:right w:val="single" w:color="auto" w:sz="12" w:space="0"/>
            </w:tcBorders>
            <w:noWrap w:val="0"/>
            <w:vAlign w:val="center"/>
          </w:tcPr>
          <w:p>
            <w:pPr>
              <w:pStyle w:val="8"/>
              <w:snapToGrid w:val="0"/>
              <w:spacing w:line="260" w:lineRule="exact"/>
              <w:jc w:val="center"/>
              <w:textAlignment w:val="baseline"/>
              <w:rPr>
                <w:rFonts w:ascii="宋体" w:hAnsi="宋体" w:eastAsia="宋体" w:cs="宋体"/>
                <w:b/>
                <w:bCs/>
                <w:color w:val="auto"/>
                <w:sz w:val="20"/>
                <w:szCs w:val="20"/>
                <w:highlight w:val="none"/>
              </w:rPr>
            </w:pPr>
          </w:p>
        </w:tc>
      </w:tr>
      <w:tr>
        <w:tblPrEx>
          <w:tblCellMar>
            <w:top w:w="0" w:type="dxa"/>
            <w:left w:w="108" w:type="dxa"/>
            <w:bottom w:w="0" w:type="dxa"/>
            <w:right w:w="108" w:type="dxa"/>
          </w:tblCellMar>
        </w:tblPrEx>
        <w:trPr>
          <w:trHeight w:val="766" w:hRule="atLeast"/>
          <w:jc w:val="center"/>
        </w:trPr>
        <w:tc>
          <w:tcPr>
            <w:tcW w:w="10773" w:type="dxa"/>
            <w:gridSpan w:val="15"/>
            <w:tcBorders>
              <w:top w:val="single" w:color="auto" w:sz="6" w:space="0"/>
              <w:left w:val="single" w:color="auto" w:sz="12" w:space="0"/>
              <w:bottom w:val="single" w:color="auto" w:sz="6" w:space="0"/>
              <w:right w:val="single" w:color="auto" w:sz="12" w:space="0"/>
            </w:tcBorders>
            <w:noWrap w:val="0"/>
            <w:vAlign w:val="center"/>
          </w:tcPr>
          <w:p>
            <w:pPr>
              <w:pStyle w:val="8"/>
              <w:snapToGrid w:val="0"/>
              <w:spacing w:line="320" w:lineRule="exact"/>
              <w:ind w:firstLine="400"/>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谨声明：本纳税申报表是根据国家税收法律法规及相关规定填报的，是真实的、可靠的、完整的。</w:t>
            </w:r>
          </w:p>
          <w:p>
            <w:pPr>
              <w:pStyle w:val="8"/>
              <w:snapToGrid w:val="0"/>
              <w:spacing w:line="320" w:lineRule="exact"/>
              <w:ind w:firstLine="800"/>
              <w:jc w:val="righ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纳税人（签章）：  年  月  日</w:t>
            </w:r>
          </w:p>
        </w:tc>
      </w:tr>
      <w:tr>
        <w:tblPrEx>
          <w:tblCellMar>
            <w:top w:w="0" w:type="dxa"/>
            <w:left w:w="108" w:type="dxa"/>
            <w:bottom w:w="0" w:type="dxa"/>
            <w:right w:w="108" w:type="dxa"/>
          </w:tblCellMar>
        </w:tblPrEx>
        <w:trPr>
          <w:trHeight w:val="453" w:hRule="atLeast"/>
          <w:jc w:val="center"/>
        </w:trPr>
        <w:tc>
          <w:tcPr>
            <w:tcW w:w="5408" w:type="dxa"/>
            <w:gridSpan w:val="8"/>
            <w:tcBorders>
              <w:top w:val="single" w:color="auto" w:sz="6" w:space="0"/>
              <w:left w:val="single" w:color="auto" w:sz="12" w:space="0"/>
              <w:right w:val="single" w:color="auto" w:sz="6" w:space="0"/>
            </w:tcBorders>
            <w:noWrap w:val="0"/>
            <w:vAlign w:val="center"/>
          </w:tcPr>
          <w:p>
            <w:pPr>
              <w:pStyle w:val="8"/>
              <w:snapToGrid w:val="0"/>
              <w:spacing w:line="28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经办人：</w:t>
            </w:r>
          </w:p>
          <w:p>
            <w:pPr>
              <w:pStyle w:val="8"/>
              <w:snapToGrid w:val="0"/>
              <w:spacing w:line="28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经办人身份证号：</w:t>
            </w:r>
          </w:p>
          <w:p>
            <w:pPr>
              <w:pStyle w:val="8"/>
              <w:snapToGrid w:val="0"/>
              <w:spacing w:line="28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代理机构签章：</w:t>
            </w:r>
          </w:p>
          <w:p>
            <w:pPr>
              <w:pStyle w:val="8"/>
              <w:snapToGrid w:val="0"/>
              <w:spacing w:line="28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代理机构统一社会信用代码：</w:t>
            </w:r>
          </w:p>
        </w:tc>
        <w:tc>
          <w:tcPr>
            <w:tcW w:w="5365" w:type="dxa"/>
            <w:gridSpan w:val="7"/>
            <w:tcBorders>
              <w:top w:val="single" w:color="auto" w:sz="6" w:space="0"/>
              <w:left w:val="single" w:color="auto" w:sz="6" w:space="0"/>
              <w:right w:val="single" w:color="auto" w:sz="12" w:space="0"/>
            </w:tcBorders>
            <w:noWrap w:val="0"/>
            <w:vAlign w:val="center"/>
          </w:tcPr>
          <w:p>
            <w:pPr>
              <w:pStyle w:val="8"/>
              <w:snapToGrid w:val="0"/>
              <w:spacing w:line="32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受理人：</w:t>
            </w:r>
          </w:p>
          <w:p>
            <w:pPr>
              <w:pStyle w:val="8"/>
              <w:snapToGrid w:val="0"/>
              <w:spacing w:line="32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受理税务机关（章）：</w:t>
            </w:r>
          </w:p>
          <w:p>
            <w:pPr>
              <w:pStyle w:val="8"/>
              <w:snapToGrid w:val="0"/>
              <w:spacing w:line="320" w:lineRule="exact"/>
              <w:textAlignment w:val="baseline"/>
              <w:rPr>
                <w:rFonts w:ascii="宋体" w:hAnsi="宋体" w:eastAsia="宋体"/>
                <w:color w:val="auto"/>
                <w:sz w:val="20"/>
                <w:szCs w:val="20"/>
                <w:highlight w:val="none"/>
              </w:rPr>
            </w:pPr>
            <w:r>
              <w:rPr>
                <w:rFonts w:hint="eastAsia" w:ascii="宋体" w:hAnsi="宋体" w:eastAsia="宋体" w:cs="宋体"/>
                <w:color w:val="auto"/>
                <w:sz w:val="20"/>
                <w:szCs w:val="20"/>
                <w:highlight w:val="none"/>
              </w:rPr>
              <w:t>受理日期：     年  月  日</w:t>
            </w:r>
          </w:p>
        </w:tc>
      </w:tr>
      <w:tr>
        <w:tblPrEx>
          <w:tblCellMar>
            <w:top w:w="0" w:type="dxa"/>
            <w:left w:w="108" w:type="dxa"/>
            <w:bottom w:w="0" w:type="dxa"/>
            <w:right w:w="108" w:type="dxa"/>
          </w:tblCellMar>
        </w:tblPrEx>
        <w:trPr>
          <w:trHeight w:val="128" w:hRule="atLeast"/>
          <w:jc w:val="center"/>
        </w:trPr>
        <w:tc>
          <w:tcPr>
            <w:tcW w:w="10773" w:type="dxa"/>
            <w:gridSpan w:val="15"/>
            <w:tcBorders>
              <w:top w:val="single" w:color="auto" w:sz="12" w:space="0"/>
              <w:left w:val="nil"/>
              <w:bottom w:val="nil"/>
              <w:right w:val="nil"/>
            </w:tcBorders>
            <w:noWrap w:val="0"/>
            <w:vAlign w:val="bottom"/>
          </w:tcPr>
          <w:p>
            <w:pPr>
              <w:pStyle w:val="8"/>
              <w:snapToGrid w:val="0"/>
              <w:spacing w:line="260" w:lineRule="exact"/>
              <w:jc w:val="right"/>
              <w:textAlignment w:val="baseline"/>
              <w:rPr>
                <w:rFonts w:ascii="宋体" w:hAnsi="宋体" w:eastAsia="宋体"/>
                <w:color w:val="auto"/>
                <w:sz w:val="22"/>
                <w:szCs w:val="21"/>
                <w:highlight w:val="none"/>
              </w:rPr>
            </w:pPr>
            <w:r>
              <w:rPr>
                <w:rFonts w:hint="eastAsia" w:ascii="宋体" w:hAnsi="宋体" w:eastAsia="宋体" w:cs="宋体"/>
                <w:color w:val="auto"/>
                <w:sz w:val="22"/>
                <w:highlight w:val="none"/>
              </w:rPr>
              <w:t>国家税务总局监制</w:t>
            </w:r>
          </w:p>
        </w:tc>
      </w:tr>
      <w:bookmarkEnd w:id="0"/>
    </w:tbl>
    <w:p>
      <w:pPr>
        <w:pStyle w:val="9"/>
        <w:rPr>
          <w:rFonts w:ascii="宋体" w:hAnsi="宋体" w:eastAsia="宋体"/>
          <w:color w:val="auto"/>
          <w:highlight w:val="none"/>
        </w:rPr>
      </w:pPr>
    </w:p>
    <w:p>
      <w:pPr>
        <w:snapToGrid w:val="0"/>
        <w:textAlignment w:val="baseline"/>
        <w:rPr>
          <w:color w:val="auto"/>
          <w:sz w:val="20"/>
          <w:highlight w:val="none"/>
        </w:rPr>
      </w:pPr>
    </w:p>
    <w:p>
      <w:pPr>
        <w:snapToGrid w:val="0"/>
        <w:textAlignment w:val="baseline"/>
        <w:rPr>
          <w:color w:val="auto"/>
          <w:sz w:val="20"/>
          <w:highlight w:val="none"/>
        </w:rPr>
      </w:pPr>
    </w:p>
    <w:p>
      <w:pPr>
        <w:snapToGrid w:val="0"/>
        <w:textAlignment w:val="baseline"/>
        <w:rPr>
          <w:color w:val="auto"/>
          <w:sz w:val="20"/>
          <w:highlight w:val="none"/>
        </w:rPr>
      </w:pPr>
    </w:p>
    <w:p>
      <w:pPr>
        <w:snapToGrid w:val="0"/>
        <w:textAlignment w:val="baseline"/>
        <w:rPr>
          <w:color w:val="auto"/>
          <w:sz w:val="20"/>
          <w:highlight w:val="none"/>
        </w:rPr>
      </w:pPr>
    </w:p>
    <w:p>
      <w:pPr>
        <w:snapToGrid w:val="0"/>
        <w:textAlignment w:val="baseline"/>
        <w:rPr>
          <w:color w:val="auto"/>
          <w:sz w:val="20"/>
          <w:highlight w:val="none"/>
        </w:rPr>
      </w:pPr>
    </w:p>
    <w:p>
      <w:pPr>
        <w:snapToGrid w:val="0"/>
        <w:textAlignment w:val="baseline"/>
        <w:rPr>
          <w:color w:val="auto"/>
          <w:sz w:val="20"/>
          <w:highlight w:val="none"/>
        </w:rPr>
        <w:sectPr>
          <w:footerReference r:id="rId4" w:type="first"/>
          <w:footerReference r:id="rId3" w:type="default"/>
          <w:pgSz w:w="11906" w:h="16838"/>
          <w:pgMar w:top="1985" w:right="1418" w:bottom="1985" w:left="1418" w:header="851" w:footer="737" w:gutter="0"/>
          <w:pgBorders>
            <w:top w:val="none" w:sz="0" w:space="0"/>
            <w:left w:val="none" w:sz="0" w:space="0"/>
            <w:bottom w:val="none" w:sz="0" w:space="0"/>
            <w:right w:val="none" w:sz="0" w:space="0"/>
          </w:pgBorders>
          <w:pgNumType w:start="1"/>
          <w:cols w:space="720" w:num="1"/>
          <w:docGrid w:linePitch="312" w:charSpace="0"/>
        </w:sectPr>
      </w:pPr>
    </w:p>
    <w:p>
      <w:pPr>
        <w:pStyle w:val="7"/>
        <w:snapToGrid w:val="0"/>
        <w:jc w:val="center"/>
        <w:textAlignment w:val="baseline"/>
        <w:rPr>
          <w:rFonts w:cs="Times New Roman"/>
          <w:color w:val="auto"/>
          <w:highlight w:val="none"/>
        </w:rPr>
      </w:pPr>
      <w:r>
        <w:rPr>
          <w:color w:val="auto"/>
          <w:highlight w:val="none"/>
        </w:rPr>
        <w:t>A200000</w:t>
      </w:r>
      <w:r>
        <w:rPr>
          <w:color w:val="auto"/>
          <w:highlight w:val="none"/>
        </w:rPr>
        <w:tab/>
      </w:r>
      <w:r>
        <w:rPr>
          <w:rFonts w:hint="eastAsia"/>
          <w:color w:val="auto"/>
          <w:highlight w:val="none"/>
        </w:rPr>
        <w:t>《中华人民共和国企业所得税月</w:t>
      </w:r>
      <w:r>
        <w:rPr>
          <w:color w:val="auto"/>
          <w:highlight w:val="none"/>
        </w:rPr>
        <w:t>(</w:t>
      </w:r>
      <w:r>
        <w:rPr>
          <w:rFonts w:hint="eastAsia"/>
          <w:color w:val="auto"/>
          <w:highlight w:val="none"/>
        </w:rPr>
        <w:t>季</w:t>
      </w:r>
      <w:r>
        <w:rPr>
          <w:color w:val="auto"/>
          <w:highlight w:val="none"/>
        </w:rPr>
        <w:t>)</w:t>
      </w:r>
      <w:r>
        <w:rPr>
          <w:rFonts w:hint="eastAsia"/>
          <w:color w:val="auto"/>
          <w:highlight w:val="none"/>
        </w:rPr>
        <w:t>度预缴纳税申报表（</w:t>
      </w:r>
      <w:r>
        <w:rPr>
          <w:color w:val="auto"/>
          <w:highlight w:val="none"/>
        </w:rPr>
        <w:t>A</w:t>
      </w:r>
      <w:r>
        <w:rPr>
          <w:rFonts w:hint="eastAsia"/>
          <w:color w:val="auto"/>
          <w:highlight w:val="none"/>
        </w:rPr>
        <w:t>类）》填报说明</w:t>
      </w:r>
    </w:p>
    <w:p>
      <w:pPr>
        <w:pStyle w:val="10"/>
        <w:snapToGrid w:val="0"/>
        <w:spacing w:line="360" w:lineRule="auto"/>
        <w:textAlignment w:val="baseline"/>
        <w:rPr>
          <w:rFonts w:cs="Times New Roman"/>
          <w:color w:val="auto"/>
          <w:highlight w:val="none"/>
        </w:rPr>
      </w:pPr>
      <w:r>
        <w:rPr>
          <w:rFonts w:hint="eastAsia"/>
          <w:color w:val="auto"/>
          <w:highlight w:val="none"/>
        </w:rPr>
        <w:t>一、适用范围</w:t>
      </w:r>
    </w:p>
    <w:p>
      <w:pPr>
        <w:pStyle w:val="11"/>
        <w:snapToGrid w:val="0"/>
        <w:spacing w:line="360" w:lineRule="auto"/>
        <w:textAlignment w:val="baseline"/>
        <w:rPr>
          <w:rFonts w:cs="Times New Roman"/>
          <w:color w:val="auto"/>
          <w:highlight w:val="none"/>
        </w:rPr>
      </w:pPr>
      <w:r>
        <w:rPr>
          <w:rFonts w:hint="eastAsia"/>
          <w:color w:val="auto"/>
          <w:highlight w:val="none"/>
        </w:rPr>
        <w:t>本表适用于实行查账征收企业所得税的居民企业纳税人（以下简称“纳税人”）在月（季）度预缴纳税申报时填报。执行《跨地区经营汇总纳税企业所得税征收管理办法》（国家税务总局公告</w:t>
      </w:r>
      <w:r>
        <w:rPr>
          <w:color w:val="auto"/>
          <w:highlight w:val="none"/>
        </w:rPr>
        <w:t>2012</w:t>
      </w:r>
      <w:r>
        <w:rPr>
          <w:rFonts w:hint="eastAsia"/>
          <w:color w:val="auto"/>
          <w:highlight w:val="none"/>
        </w:rPr>
        <w:t>年第</w:t>
      </w:r>
      <w:r>
        <w:rPr>
          <w:color w:val="auto"/>
          <w:highlight w:val="none"/>
        </w:rPr>
        <w:t>57</w:t>
      </w:r>
      <w:r>
        <w:rPr>
          <w:rFonts w:hint="eastAsia"/>
          <w:color w:val="auto"/>
          <w:highlight w:val="none"/>
        </w:rPr>
        <w:t>号发布，2018年第31号修改）的跨地区经营汇总纳税企业的分支机构，除在预缴纳税申报时填报外，在年度纳税申报时也填报本表。省（自治区、直辖市和计划单列市）税务机关对仅在本省（自治区、直辖市和计划单列市）内设立不具有法人资格分支机构的企业，参照《跨地区经营汇总纳税企业所得税征收管理办法》征收管理的，企业的分支机构除在预缴纳税申报时填报外，在年度纳税申报时也填报本表。</w:t>
      </w:r>
    </w:p>
    <w:p>
      <w:pPr>
        <w:pStyle w:val="10"/>
        <w:snapToGrid w:val="0"/>
        <w:spacing w:line="360" w:lineRule="auto"/>
        <w:textAlignment w:val="baseline"/>
        <w:rPr>
          <w:rFonts w:cs="Times New Roman"/>
          <w:color w:val="auto"/>
          <w:highlight w:val="none"/>
        </w:rPr>
      </w:pPr>
      <w:r>
        <w:rPr>
          <w:rFonts w:hint="eastAsia"/>
          <w:color w:val="auto"/>
          <w:highlight w:val="none"/>
        </w:rPr>
        <w:t>二、表头项目</w:t>
      </w:r>
    </w:p>
    <w:p>
      <w:pPr>
        <w:pStyle w:val="12"/>
        <w:snapToGrid w:val="0"/>
        <w:spacing w:line="360" w:lineRule="auto"/>
        <w:textAlignment w:val="baseline"/>
        <w:rPr>
          <w:rFonts w:cs="Times New Roman"/>
          <w:color w:val="auto"/>
          <w:highlight w:val="none"/>
        </w:rPr>
      </w:pPr>
      <w:r>
        <w:rPr>
          <w:rFonts w:hint="eastAsia"/>
          <w:color w:val="auto"/>
          <w:highlight w:val="none"/>
        </w:rPr>
        <w:t>（一）税款所属期间</w:t>
      </w:r>
    </w:p>
    <w:p>
      <w:pPr>
        <w:pStyle w:val="11"/>
        <w:snapToGrid w:val="0"/>
        <w:spacing w:line="360" w:lineRule="auto"/>
        <w:textAlignment w:val="baseline"/>
        <w:rPr>
          <w:rFonts w:cs="Times New Roman"/>
          <w:color w:val="auto"/>
          <w:highlight w:val="none"/>
        </w:rPr>
      </w:pPr>
      <w:r>
        <w:rPr>
          <w:color w:val="auto"/>
          <w:highlight w:val="none"/>
        </w:rPr>
        <w:t>1.</w:t>
      </w:r>
      <w:r>
        <w:rPr>
          <w:rFonts w:hint="eastAsia"/>
          <w:color w:val="auto"/>
          <w:highlight w:val="none"/>
        </w:rPr>
        <w:t>月（季）度预缴纳税申报</w:t>
      </w:r>
    </w:p>
    <w:p>
      <w:pPr>
        <w:pStyle w:val="11"/>
        <w:snapToGrid w:val="0"/>
        <w:spacing w:line="360" w:lineRule="auto"/>
        <w:textAlignment w:val="baseline"/>
        <w:rPr>
          <w:rFonts w:cs="Times New Roman"/>
          <w:color w:val="auto"/>
          <w:highlight w:val="none"/>
        </w:rPr>
      </w:pPr>
      <w:r>
        <w:rPr>
          <w:rFonts w:hint="eastAsia"/>
          <w:color w:val="auto"/>
          <w:highlight w:val="none"/>
        </w:rPr>
        <w:t>正常经营的纳税人，填报税款所属期月（季）度第一日至税款所属期月（季）度最后一日；年度中间开业的纳税人，在首次月（季）度预缴纳税申报时，填报开始经营之日至税款所属月（季）度最后一日，以后月</w:t>
      </w:r>
      <w:r>
        <w:rPr>
          <w:color w:val="auto"/>
          <w:highlight w:val="none"/>
        </w:rPr>
        <w:t>(</w:t>
      </w:r>
      <w:r>
        <w:rPr>
          <w:rFonts w:hint="eastAsia"/>
          <w:color w:val="auto"/>
          <w:highlight w:val="none"/>
        </w:rPr>
        <w:t>季</w:t>
      </w:r>
      <w:r>
        <w:rPr>
          <w:color w:val="auto"/>
          <w:highlight w:val="none"/>
        </w:rPr>
        <w:t>)</w:t>
      </w:r>
      <w:r>
        <w:rPr>
          <w:rFonts w:hint="eastAsia"/>
          <w:color w:val="auto"/>
          <w:highlight w:val="none"/>
        </w:rPr>
        <w:t>度预缴纳税申报时按照正常情况填报；年度中间终止经营活动的纳税人，在终止经营活动当期纳税申报时，填报税款所属期月（季）度第一日至终止经营活动之日，以后月（季）度预缴纳税申报时不再填报。</w:t>
      </w:r>
    </w:p>
    <w:p>
      <w:pPr>
        <w:pStyle w:val="11"/>
        <w:snapToGrid w:val="0"/>
        <w:spacing w:line="360" w:lineRule="auto"/>
        <w:textAlignment w:val="baseline"/>
        <w:rPr>
          <w:rFonts w:cs="Times New Roman"/>
          <w:color w:val="auto"/>
          <w:highlight w:val="none"/>
        </w:rPr>
      </w:pPr>
      <w:r>
        <w:rPr>
          <w:color w:val="auto"/>
          <w:highlight w:val="none"/>
        </w:rPr>
        <w:t>2.</w:t>
      </w:r>
      <w:r>
        <w:rPr>
          <w:rFonts w:hint="eastAsia"/>
          <w:color w:val="auto"/>
          <w:highlight w:val="none"/>
        </w:rPr>
        <w:t>年度纳税申报</w:t>
      </w:r>
    </w:p>
    <w:p>
      <w:pPr>
        <w:pStyle w:val="11"/>
        <w:snapToGrid w:val="0"/>
        <w:spacing w:line="360" w:lineRule="auto"/>
        <w:textAlignment w:val="baseline"/>
        <w:rPr>
          <w:rFonts w:cs="Times New Roman"/>
          <w:color w:val="auto"/>
          <w:highlight w:val="none"/>
        </w:rPr>
      </w:pPr>
      <w:r>
        <w:rPr>
          <w:rFonts w:hint="eastAsia"/>
          <w:color w:val="auto"/>
          <w:highlight w:val="none"/>
          <w:lang w:eastAsia="zh-CN"/>
        </w:rPr>
        <w:t>分支机构</w:t>
      </w:r>
      <w:r>
        <w:rPr>
          <w:rFonts w:hint="eastAsia"/>
          <w:color w:val="auto"/>
          <w:highlight w:val="none"/>
        </w:rPr>
        <w:t>填报税款所属年度</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日至</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w:t>
      </w:r>
    </w:p>
    <w:p>
      <w:pPr>
        <w:pStyle w:val="12"/>
        <w:snapToGrid w:val="0"/>
        <w:spacing w:line="360" w:lineRule="auto"/>
        <w:textAlignment w:val="baseline"/>
        <w:rPr>
          <w:rFonts w:cs="Times New Roman"/>
          <w:color w:val="auto"/>
          <w:highlight w:val="none"/>
        </w:rPr>
      </w:pPr>
      <w:r>
        <w:rPr>
          <w:rFonts w:hint="eastAsia"/>
          <w:color w:val="auto"/>
          <w:highlight w:val="none"/>
        </w:rPr>
        <w:t>（二）纳税人识别号（统一社会信用代码）</w:t>
      </w:r>
    </w:p>
    <w:p>
      <w:pPr>
        <w:pStyle w:val="11"/>
        <w:snapToGrid w:val="0"/>
        <w:spacing w:line="360" w:lineRule="auto"/>
        <w:textAlignment w:val="baseline"/>
        <w:rPr>
          <w:rFonts w:cs="Times New Roman"/>
          <w:color w:val="auto"/>
          <w:highlight w:val="none"/>
        </w:rPr>
      </w:pPr>
      <w:r>
        <w:rPr>
          <w:rFonts w:hint="eastAsia"/>
          <w:color w:val="auto"/>
          <w:highlight w:val="none"/>
        </w:rPr>
        <w:t>填报税务机关核发的纳税人识别号或有关部门核发的统一社会信用代码。</w:t>
      </w:r>
    </w:p>
    <w:p>
      <w:pPr>
        <w:pStyle w:val="12"/>
        <w:snapToGrid w:val="0"/>
        <w:spacing w:line="360" w:lineRule="auto"/>
        <w:textAlignment w:val="baseline"/>
        <w:rPr>
          <w:rFonts w:cs="Times New Roman"/>
          <w:color w:val="auto"/>
          <w:highlight w:val="none"/>
        </w:rPr>
      </w:pPr>
      <w:r>
        <w:rPr>
          <w:rFonts w:hint="eastAsia"/>
          <w:color w:val="auto"/>
          <w:highlight w:val="none"/>
        </w:rPr>
        <w:t>（三）纳税人名称</w:t>
      </w:r>
    </w:p>
    <w:p>
      <w:pPr>
        <w:pStyle w:val="11"/>
        <w:snapToGrid w:val="0"/>
        <w:spacing w:line="360" w:lineRule="auto"/>
        <w:textAlignment w:val="baseline"/>
        <w:rPr>
          <w:rFonts w:cs="Times New Roman"/>
          <w:color w:val="auto"/>
          <w:highlight w:val="none"/>
        </w:rPr>
      </w:pPr>
      <w:r>
        <w:rPr>
          <w:rFonts w:hint="eastAsia"/>
          <w:color w:val="auto"/>
          <w:highlight w:val="none"/>
        </w:rPr>
        <w:t>填报营业执照、税务登记证等证件载明的纳税人名称。</w:t>
      </w:r>
    </w:p>
    <w:p>
      <w:pPr>
        <w:pStyle w:val="10"/>
        <w:snapToGrid w:val="0"/>
        <w:spacing w:line="360" w:lineRule="auto"/>
        <w:textAlignment w:val="baseline"/>
        <w:rPr>
          <w:color w:val="auto"/>
          <w:highlight w:val="none"/>
        </w:rPr>
      </w:pPr>
      <w:r>
        <w:rPr>
          <w:rFonts w:hint="eastAsia"/>
          <w:color w:val="auto"/>
          <w:highlight w:val="none"/>
        </w:rPr>
        <w:t>三、优惠及附报事项信息</w:t>
      </w:r>
    </w:p>
    <w:p>
      <w:pPr>
        <w:pStyle w:val="11"/>
        <w:snapToGrid w:val="0"/>
        <w:spacing w:line="360" w:lineRule="auto"/>
        <w:textAlignment w:val="baseline"/>
        <w:rPr>
          <w:color w:val="auto"/>
          <w:highlight w:val="none"/>
        </w:rPr>
      </w:pPr>
      <w:r>
        <w:rPr>
          <w:rFonts w:hint="eastAsia"/>
          <w:color w:val="auto"/>
          <w:highlight w:val="none"/>
        </w:rPr>
        <w:t>本项下所有项目按季度填报。按月申报的纳税人，在季度最后一个属期的月份填报。企业类型为“跨地区经营汇总纳税企业分支机构”的，不填报“优惠及附报事项有关信息”所有项目。</w:t>
      </w:r>
    </w:p>
    <w:p>
      <w:pPr>
        <w:pStyle w:val="12"/>
        <w:snapToGrid w:val="0"/>
        <w:spacing w:line="360" w:lineRule="auto"/>
        <w:textAlignment w:val="baseline"/>
        <w:rPr>
          <w:color w:val="auto"/>
          <w:highlight w:val="none"/>
        </w:rPr>
      </w:pPr>
      <w:r>
        <w:rPr>
          <w:rFonts w:hint="eastAsia"/>
          <w:color w:val="auto"/>
          <w:highlight w:val="none"/>
        </w:rPr>
        <w:t>（一）从业人数</w:t>
      </w:r>
    </w:p>
    <w:p>
      <w:pPr>
        <w:pStyle w:val="11"/>
        <w:snapToGrid w:val="0"/>
        <w:spacing w:line="360" w:lineRule="auto"/>
        <w:textAlignment w:val="baseline"/>
        <w:rPr>
          <w:color w:val="auto"/>
          <w:highlight w:val="none"/>
        </w:rPr>
      </w:pPr>
      <w:r>
        <w:rPr>
          <w:rFonts w:hint="eastAsia"/>
          <w:color w:val="auto"/>
          <w:highlight w:val="none"/>
        </w:rPr>
        <w:t>必报项目。</w:t>
      </w:r>
    </w:p>
    <w:p>
      <w:pPr>
        <w:pStyle w:val="11"/>
        <w:snapToGrid w:val="0"/>
        <w:spacing w:line="360" w:lineRule="auto"/>
        <w:textAlignment w:val="baseline"/>
        <w:rPr>
          <w:rFonts w:cs="Times New Roman"/>
          <w:color w:val="auto"/>
          <w:highlight w:val="none"/>
        </w:rPr>
      </w:pPr>
      <w:r>
        <w:rPr>
          <w:rFonts w:hint="eastAsia"/>
          <w:color w:val="auto"/>
          <w:highlight w:val="none"/>
        </w:rPr>
        <w:t>纳税人填报第一季度至税款所属季度各季度的季初、季末、季度平均从业人员的数量。季度中间开业的纳税人，填报开业季度至税款所属季度各季度的季初、季末从业人员的数量，其中开业季度“季初”填报开业时从业人员的数量。季度中间停止经营的纳税人，填报第一季度至停止经营季度各季度的季初、季末从业人员的数量，其中停止经营季度“季末”填报停止经营时从业人员的数量。“季度平均值”填报截至本税款所属期末从业人员数量的季度平均值，计算方法如下：</w:t>
      </w:r>
    </w:p>
    <w:p>
      <w:pPr>
        <w:pStyle w:val="11"/>
        <w:snapToGrid w:val="0"/>
        <w:spacing w:line="360" w:lineRule="auto"/>
        <w:textAlignment w:val="baseline"/>
        <w:rPr>
          <w:color w:val="auto"/>
          <w:highlight w:val="none"/>
        </w:rPr>
      </w:pPr>
      <w:r>
        <w:rPr>
          <w:rFonts w:hint="eastAsia"/>
          <w:color w:val="auto"/>
          <w:highlight w:val="none"/>
        </w:rPr>
        <w:t>各季度平均值＝（季初值</w:t>
      </w:r>
      <w:r>
        <w:rPr>
          <w:color w:val="auto"/>
          <w:highlight w:val="none"/>
        </w:rPr>
        <w:t>+</w:t>
      </w:r>
      <w:r>
        <w:rPr>
          <w:rFonts w:hint="eastAsia"/>
          <w:color w:val="auto"/>
          <w:highlight w:val="none"/>
        </w:rPr>
        <w:t>季末值）÷</w:t>
      </w:r>
      <w:r>
        <w:rPr>
          <w:color w:val="auto"/>
          <w:highlight w:val="none"/>
        </w:rPr>
        <w:t>2</w:t>
      </w:r>
    </w:p>
    <w:p>
      <w:pPr>
        <w:pStyle w:val="11"/>
        <w:snapToGrid w:val="0"/>
        <w:spacing w:line="360" w:lineRule="auto"/>
        <w:textAlignment w:val="baseline"/>
        <w:rPr>
          <w:rFonts w:cs="Times New Roman"/>
          <w:color w:val="auto"/>
          <w:highlight w:val="none"/>
        </w:rPr>
      </w:pPr>
      <w:r>
        <w:rPr>
          <w:rFonts w:hint="eastAsia"/>
          <w:color w:val="auto"/>
          <w:highlight w:val="none"/>
        </w:rPr>
        <w:t>截至本税款所属期末季度平均值＝截至本税款所属期末各季度平均值之和÷相应季度数</w:t>
      </w:r>
    </w:p>
    <w:p>
      <w:pPr>
        <w:pStyle w:val="11"/>
        <w:snapToGrid w:val="0"/>
        <w:spacing w:line="360" w:lineRule="auto"/>
        <w:textAlignment w:val="baseline"/>
        <w:rPr>
          <w:rFonts w:cs="Times New Roman"/>
          <w:color w:val="auto"/>
          <w:highlight w:val="none"/>
        </w:rPr>
      </w:pPr>
      <w:r>
        <w:rPr>
          <w:rFonts w:hint="eastAsia"/>
          <w:color w:val="auto"/>
          <w:highlight w:val="none"/>
        </w:rPr>
        <w:t>年度中间开业或者终止经营活动的，以其实际经营期计算上述指标。</w:t>
      </w:r>
    </w:p>
    <w:p>
      <w:pPr>
        <w:pStyle w:val="11"/>
        <w:snapToGrid w:val="0"/>
        <w:spacing w:line="360" w:lineRule="auto"/>
        <w:textAlignment w:val="baseline"/>
        <w:rPr>
          <w:rFonts w:cs="Times New Roman"/>
          <w:color w:val="auto"/>
          <w:highlight w:val="none"/>
        </w:rPr>
      </w:pPr>
      <w:r>
        <w:rPr>
          <w:rFonts w:hint="eastAsia"/>
          <w:color w:val="auto"/>
          <w:highlight w:val="none"/>
        </w:rPr>
        <w:t>从业人数是指与企业建立劳动关系的职工人数和企业接受的劳务派遣用工人数之和。汇总纳税企业总机构填报包括分支机构在内的所有从业人数。</w:t>
      </w:r>
    </w:p>
    <w:p>
      <w:pPr>
        <w:pStyle w:val="12"/>
        <w:snapToGrid w:val="0"/>
        <w:spacing w:line="360" w:lineRule="auto"/>
        <w:textAlignment w:val="baseline"/>
        <w:rPr>
          <w:color w:val="auto"/>
          <w:highlight w:val="none"/>
        </w:rPr>
      </w:pPr>
      <w:r>
        <w:rPr>
          <w:rFonts w:hint="eastAsia"/>
          <w:color w:val="auto"/>
          <w:highlight w:val="none"/>
        </w:rPr>
        <w:t>（二）资产总额（万元）</w:t>
      </w:r>
    </w:p>
    <w:p>
      <w:pPr>
        <w:pStyle w:val="11"/>
        <w:snapToGrid w:val="0"/>
        <w:spacing w:line="360" w:lineRule="auto"/>
        <w:textAlignment w:val="baseline"/>
        <w:rPr>
          <w:rFonts w:cs="Times New Roman"/>
          <w:color w:val="auto"/>
          <w:highlight w:val="none"/>
        </w:rPr>
      </w:pPr>
      <w:r>
        <w:rPr>
          <w:rFonts w:hint="eastAsia"/>
          <w:color w:val="auto"/>
          <w:highlight w:val="none"/>
        </w:rPr>
        <w:t>必报项目。</w:t>
      </w:r>
    </w:p>
    <w:p>
      <w:pPr>
        <w:pStyle w:val="11"/>
        <w:snapToGrid w:val="0"/>
        <w:spacing w:line="360" w:lineRule="auto"/>
        <w:textAlignment w:val="baseline"/>
        <w:rPr>
          <w:rFonts w:cs="Times New Roman"/>
          <w:color w:val="auto"/>
          <w:highlight w:val="none"/>
        </w:rPr>
      </w:pPr>
      <w:r>
        <w:rPr>
          <w:rFonts w:hint="eastAsia"/>
          <w:color w:val="auto"/>
          <w:highlight w:val="none"/>
        </w:rPr>
        <w:t>纳税人填报第一季度至税款所属季度各季度的季初、季末、季度平均资产总额的金额。季度中间开业的纳税人，填报开业季度至税款所属季度各季度的季初、季末资产总额的金额，其中开业季度“季初”填报开业时资产总额的金额。季度中间停止经营的纳税人，填报第一季度至停止经营季度各季度的季初、季末资产总额的金额，其中停止经营季度“季末”填报停止经营时资产总额的金额。“季度平均值”填报截至本税款所属期末资产总额金额的季度平均值，计算方法如下：</w:t>
      </w:r>
    </w:p>
    <w:p>
      <w:pPr>
        <w:pStyle w:val="11"/>
        <w:snapToGrid w:val="0"/>
        <w:spacing w:line="360" w:lineRule="auto"/>
        <w:textAlignment w:val="baseline"/>
        <w:rPr>
          <w:color w:val="auto"/>
          <w:highlight w:val="none"/>
        </w:rPr>
      </w:pPr>
      <w:r>
        <w:rPr>
          <w:rFonts w:hint="eastAsia"/>
          <w:color w:val="auto"/>
          <w:highlight w:val="none"/>
        </w:rPr>
        <w:t>各季度平均值＝（季初值</w:t>
      </w:r>
      <w:r>
        <w:rPr>
          <w:color w:val="auto"/>
          <w:highlight w:val="none"/>
        </w:rPr>
        <w:t>+</w:t>
      </w:r>
      <w:r>
        <w:rPr>
          <w:rFonts w:hint="eastAsia"/>
          <w:color w:val="auto"/>
          <w:highlight w:val="none"/>
        </w:rPr>
        <w:t>季末值）÷</w:t>
      </w:r>
      <w:r>
        <w:rPr>
          <w:color w:val="auto"/>
          <w:highlight w:val="none"/>
        </w:rPr>
        <w:t>2</w:t>
      </w:r>
    </w:p>
    <w:p>
      <w:pPr>
        <w:pStyle w:val="11"/>
        <w:snapToGrid w:val="0"/>
        <w:spacing w:line="360" w:lineRule="auto"/>
        <w:textAlignment w:val="baseline"/>
        <w:rPr>
          <w:rFonts w:cs="Times New Roman"/>
          <w:color w:val="auto"/>
          <w:highlight w:val="none"/>
        </w:rPr>
      </w:pPr>
      <w:r>
        <w:rPr>
          <w:rFonts w:hint="eastAsia"/>
          <w:color w:val="auto"/>
          <w:highlight w:val="none"/>
        </w:rPr>
        <w:t>截至本税款所属期末季度平均值＝截至本税款所属期末各季度平均值之和÷相应季度数</w:t>
      </w:r>
    </w:p>
    <w:p>
      <w:pPr>
        <w:pStyle w:val="11"/>
        <w:snapToGrid w:val="0"/>
        <w:spacing w:line="360" w:lineRule="auto"/>
        <w:textAlignment w:val="baseline"/>
        <w:rPr>
          <w:rFonts w:cs="Times New Roman"/>
          <w:color w:val="auto"/>
          <w:highlight w:val="none"/>
        </w:rPr>
      </w:pPr>
      <w:r>
        <w:rPr>
          <w:rFonts w:hint="eastAsia"/>
          <w:color w:val="auto"/>
          <w:highlight w:val="none"/>
        </w:rPr>
        <w:t>年度中间开业或者终止经营活动的，以其实际经营期计算上述指标。</w:t>
      </w:r>
    </w:p>
    <w:p>
      <w:pPr>
        <w:pStyle w:val="11"/>
        <w:snapToGrid w:val="0"/>
        <w:spacing w:line="360" w:lineRule="auto"/>
        <w:textAlignment w:val="baseline"/>
        <w:rPr>
          <w:rFonts w:cs="Times New Roman"/>
          <w:color w:val="auto"/>
          <w:highlight w:val="none"/>
        </w:rPr>
      </w:pPr>
      <w:r>
        <w:rPr>
          <w:rFonts w:hint="eastAsia"/>
          <w:color w:val="auto"/>
          <w:highlight w:val="none"/>
        </w:rPr>
        <w:t>填报单位为人民币万元，保留小数点后</w:t>
      </w:r>
      <w:r>
        <w:rPr>
          <w:color w:val="auto"/>
          <w:highlight w:val="none"/>
        </w:rPr>
        <w:t>2</w:t>
      </w:r>
      <w:r>
        <w:rPr>
          <w:rFonts w:hint="eastAsia"/>
          <w:color w:val="auto"/>
          <w:highlight w:val="none"/>
        </w:rPr>
        <w:t>位。</w:t>
      </w:r>
    </w:p>
    <w:p>
      <w:pPr>
        <w:pStyle w:val="12"/>
        <w:snapToGrid w:val="0"/>
        <w:spacing w:line="360" w:lineRule="auto"/>
        <w:textAlignment w:val="baseline"/>
        <w:rPr>
          <w:rFonts w:cs="Times New Roman"/>
          <w:color w:val="auto"/>
          <w:highlight w:val="none"/>
        </w:rPr>
      </w:pPr>
      <w:r>
        <w:rPr>
          <w:rFonts w:hint="eastAsia"/>
          <w:color w:val="auto"/>
          <w:highlight w:val="none"/>
        </w:rPr>
        <w:t>（三）国家限制或禁止行业</w:t>
      </w:r>
    </w:p>
    <w:p>
      <w:pPr>
        <w:pStyle w:val="11"/>
        <w:snapToGrid w:val="0"/>
        <w:spacing w:line="360" w:lineRule="auto"/>
        <w:textAlignment w:val="baseline"/>
        <w:rPr>
          <w:rFonts w:cs="Times New Roman"/>
          <w:color w:val="auto"/>
          <w:highlight w:val="none"/>
        </w:rPr>
      </w:pPr>
      <w:r>
        <w:rPr>
          <w:rFonts w:hint="eastAsia"/>
          <w:color w:val="auto"/>
          <w:highlight w:val="none"/>
        </w:rPr>
        <w:t>必报项目。</w:t>
      </w:r>
    </w:p>
    <w:p>
      <w:pPr>
        <w:pStyle w:val="11"/>
        <w:snapToGrid w:val="0"/>
        <w:spacing w:line="360" w:lineRule="auto"/>
        <w:textAlignment w:val="baseline"/>
        <w:rPr>
          <w:rFonts w:cs="Times New Roman"/>
          <w:color w:val="auto"/>
          <w:highlight w:val="none"/>
        </w:rPr>
      </w:pPr>
      <w:r>
        <w:rPr>
          <w:rFonts w:hint="eastAsia"/>
          <w:color w:val="auto"/>
          <w:highlight w:val="none"/>
        </w:rPr>
        <w:t>纳税人从事行业为国家限制或禁止行业的，选择“是”；其他选择“否”。</w:t>
      </w:r>
    </w:p>
    <w:p>
      <w:pPr>
        <w:pStyle w:val="12"/>
        <w:snapToGrid w:val="0"/>
        <w:spacing w:line="360" w:lineRule="auto"/>
        <w:textAlignment w:val="baseline"/>
        <w:rPr>
          <w:rFonts w:cs="Times New Roman"/>
          <w:color w:val="auto"/>
          <w:highlight w:val="none"/>
        </w:rPr>
      </w:pPr>
      <w:r>
        <w:rPr>
          <w:rFonts w:hint="eastAsia"/>
          <w:color w:val="auto"/>
          <w:highlight w:val="none"/>
        </w:rPr>
        <w:t>（四）小型微利企业</w:t>
      </w:r>
    </w:p>
    <w:p>
      <w:pPr>
        <w:pStyle w:val="11"/>
        <w:snapToGrid w:val="0"/>
        <w:spacing w:line="360" w:lineRule="auto"/>
        <w:textAlignment w:val="baseline"/>
        <w:rPr>
          <w:rFonts w:cs="Times New Roman"/>
          <w:color w:val="auto"/>
          <w:highlight w:val="none"/>
        </w:rPr>
      </w:pPr>
      <w:r>
        <w:rPr>
          <w:rFonts w:hint="eastAsia"/>
          <w:color w:val="auto"/>
          <w:highlight w:val="none"/>
        </w:rPr>
        <w:t>必报项目。</w:t>
      </w:r>
    </w:p>
    <w:p>
      <w:pPr>
        <w:pStyle w:val="11"/>
        <w:snapToGrid w:val="0"/>
        <w:spacing w:line="360" w:lineRule="auto"/>
        <w:textAlignment w:val="baseline"/>
        <w:rPr>
          <w:rFonts w:cs="Times New Roman"/>
          <w:color w:val="auto"/>
          <w:highlight w:val="none"/>
        </w:rPr>
      </w:pPr>
      <w:r>
        <w:rPr>
          <w:rFonts w:hint="eastAsia"/>
          <w:color w:val="auto"/>
          <w:highlight w:val="none"/>
        </w:rPr>
        <w:t>本纳税年度截至本期末的从业人数季度平均值不超过</w:t>
      </w:r>
      <w:r>
        <w:rPr>
          <w:color w:val="auto"/>
          <w:highlight w:val="none"/>
        </w:rPr>
        <w:t>300</w:t>
      </w:r>
      <w:r>
        <w:rPr>
          <w:rFonts w:hint="eastAsia"/>
          <w:color w:val="auto"/>
          <w:highlight w:val="none"/>
        </w:rPr>
        <w:t>人、资产总额季度平均值不超过</w:t>
      </w:r>
      <w:r>
        <w:rPr>
          <w:color w:val="auto"/>
          <w:highlight w:val="none"/>
        </w:rPr>
        <w:t>5000</w:t>
      </w:r>
      <w:r>
        <w:rPr>
          <w:rFonts w:hint="eastAsia"/>
          <w:color w:val="auto"/>
          <w:highlight w:val="none"/>
        </w:rPr>
        <w:t>万元、本表“国家限制或禁止行业”选择“否”且本期本表第</w:t>
      </w:r>
      <w:r>
        <w:rPr>
          <w:rFonts w:hint="eastAsia"/>
          <w:color w:val="auto"/>
          <w:highlight w:val="none"/>
          <w:lang w:val="en-US" w:eastAsia="zh-CN"/>
        </w:rPr>
        <w:t>25</w:t>
      </w:r>
      <w:r>
        <w:rPr>
          <w:rFonts w:hint="eastAsia"/>
          <w:color w:val="auto"/>
          <w:highlight w:val="none"/>
        </w:rPr>
        <w:t>行“实际利润额</w:t>
      </w:r>
      <w:r>
        <w:rPr>
          <w:color w:val="auto"/>
          <w:highlight w:val="none"/>
        </w:rPr>
        <w:t xml:space="preserve"> \ </w:t>
      </w:r>
      <w:r>
        <w:rPr>
          <w:rFonts w:hint="eastAsia"/>
          <w:color w:val="auto"/>
          <w:highlight w:val="none"/>
        </w:rPr>
        <w:t>按照上一纳税年度应纳税所得额平均额确定的应纳税所得额”不超过</w:t>
      </w:r>
      <w:r>
        <w:rPr>
          <w:color w:val="auto"/>
          <w:highlight w:val="none"/>
        </w:rPr>
        <w:t>300</w:t>
      </w:r>
      <w:r>
        <w:rPr>
          <w:rFonts w:hint="eastAsia"/>
          <w:color w:val="auto"/>
          <w:highlight w:val="none"/>
        </w:rPr>
        <w:t>万元的纳税人，选择“是”；否则选择“否”。</w:t>
      </w:r>
    </w:p>
    <w:p>
      <w:pPr>
        <w:pStyle w:val="12"/>
        <w:snapToGrid w:val="0"/>
        <w:spacing w:line="360" w:lineRule="auto"/>
        <w:textAlignment w:val="baseline"/>
        <w:rPr>
          <w:color w:val="auto"/>
          <w:highlight w:val="none"/>
        </w:rPr>
      </w:pPr>
      <w:r>
        <w:rPr>
          <w:rFonts w:hint="eastAsia"/>
          <w:color w:val="auto"/>
          <w:highlight w:val="none"/>
        </w:rPr>
        <w:t>（五）附报事项</w:t>
      </w:r>
    </w:p>
    <w:p>
      <w:pPr>
        <w:pStyle w:val="11"/>
        <w:snapToGrid w:val="0"/>
        <w:spacing w:line="360" w:lineRule="auto"/>
        <w:textAlignment w:val="baseline"/>
        <w:rPr>
          <w:rFonts w:hint="eastAsia"/>
          <w:color w:val="auto"/>
          <w:kern w:val="2"/>
          <w:sz w:val="24"/>
          <w:szCs w:val="24"/>
          <w:highlight w:val="none"/>
          <w:lang w:eastAsia="zh-CN"/>
        </w:rPr>
      </w:pPr>
      <w:r>
        <w:rPr>
          <w:rFonts w:hint="eastAsia"/>
          <w:color w:val="auto"/>
          <w:kern w:val="2"/>
          <w:sz w:val="24"/>
          <w:szCs w:val="24"/>
          <w:highlight w:val="none"/>
          <w:lang w:val="en-US" w:eastAsia="zh-CN"/>
        </w:rPr>
        <w:t>事项1.“</w:t>
      </w:r>
      <w:r>
        <w:rPr>
          <w:rFonts w:hint="eastAsia" w:ascii="宋体" w:hAnsi="宋体" w:eastAsia="宋体"/>
          <w:color w:val="auto"/>
          <w:kern w:val="2"/>
          <w:sz w:val="24"/>
          <w:szCs w:val="24"/>
          <w:highlight w:val="none"/>
          <w:lang w:val="en-US" w:eastAsia="zh-CN"/>
        </w:rPr>
        <w:t>职工薪酬</w:t>
      </w:r>
      <w:r>
        <w:rPr>
          <w:rFonts w:hint="eastAsia"/>
          <w:color w:val="auto"/>
          <w:kern w:val="2"/>
          <w:sz w:val="24"/>
          <w:szCs w:val="24"/>
          <w:highlight w:val="none"/>
          <w:lang w:val="en-US" w:eastAsia="zh-CN"/>
        </w:rPr>
        <w:t>-</w:t>
      </w:r>
      <w:r>
        <w:rPr>
          <w:rFonts w:hint="eastAsia" w:ascii="宋体" w:hAnsi="宋体" w:eastAsia="宋体"/>
          <w:color w:val="auto"/>
          <w:kern w:val="2"/>
          <w:sz w:val="24"/>
          <w:szCs w:val="24"/>
          <w:highlight w:val="none"/>
          <w:lang w:val="en-US" w:eastAsia="zh-CN"/>
        </w:rPr>
        <w:t>已计入成本费用的职工薪酬</w:t>
      </w:r>
      <w:r>
        <w:rPr>
          <w:rFonts w:hint="eastAsia"/>
          <w:color w:val="auto"/>
          <w:kern w:val="2"/>
          <w:sz w:val="24"/>
          <w:szCs w:val="24"/>
          <w:highlight w:val="none"/>
          <w:lang w:val="en-US" w:eastAsia="zh-CN"/>
        </w:rPr>
        <w:t>”：填报</w:t>
      </w:r>
      <w:r>
        <w:rPr>
          <w:rFonts w:hint="eastAsia"/>
          <w:color w:val="auto"/>
          <w:highlight w:val="none"/>
        </w:rPr>
        <w:t>纳税人</w:t>
      </w:r>
      <w:r>
        <w:rPr>
          <w:rFonts w:hint="eastAsia"/>
          <w:color w:val="auto"/>
          <w:highlight w:val="none"/>
          <w:lang w:val="en-US" w:eastAsia="zh-CN"/>
        </w:rPr>
        <w:t>会计核算计入成本费用的</w:t>
      </w:r>
      <w:r>
        <w:rPr>
          <w:rFonts w:hint="eastAsia" w:ascii="宋体" w:hAnsi="宋体" w:eastAsia="宋体"/>
          <w:color w:val="auto"/>
          <w:kern w:val="2"/>
          <w:sz w:val="24"/>
          <w:szCs w:val="24"/>
          <w:highlight w:val="none"/>
          <w:lang w:val="en-US" w:eastAsia="zh-CN"/>
        </w:rPr>
        <w:t>职工薪酬</w:t>
      </w:r>
      <w:r>
        <w:rPr>
          <w:rFonts w:hint="eastAsia"/>
          <w:color w:val="auto"/>
          <w:kern w:val="2"/>
          <w:sz w:val="24"/>
          <w:szCs w:val="24"/>
          <w:highlight w:val="none"/>
          <w:lang w:val="en-US" w:eastAsia="zh-CN"/>
        </w:rPr>
        <w:t>。包括工资薪金支出、职工福利费支出、职工教育经费支出、工会经费支出、各类基本社会保障性缴款、住房公积金、补充养老保险、补充医疗保险等</w:t>
      </w:r>
      <w:r>
        <w:rPr>
          <w:rFonts w:hint="eastAsia"/>
          <w:color w:val="auto"/>
          <w:highlight w:val="none"/>
          <w:lang w:val="en-US" w:eastAsia="zh-CN"/>
        </w:rPr>
        <w:t>累计金额</w:t>
      </w:r>
      <w:r>
        <w:rPr>
          <w:rFonts w:hint="eastAsia"/>
          <w:color w:val="auto"/>
          <w:kern w:val="2"/>
          <w:sz w:val="24"/>
          <w:szCs w:val="24"/>
          <w:highlight w:val="none"/>
          <w:lang w:eastAsia="zh-CN"/>
        </w:rPr>
        <w:t>。</w:t>
      </w:r>
    </w:p>
    <w:p>
      <w:pPr>
        <w:pStyle w:val="11"/>
        <w:snapToGrid w:val="0"/>
        <w:spacing w:line="360" w:lineRule="auto"/>
        <w:textAlignment w:val="baseline"/>
        <w:rPr>
          <w:rFonts w:hint="eastAsia"/>
          <w:color w:val="auto"/>
          <w:highlight w:val="none"/>
          <w:lang w:val="en-US" w:eastAsia="zh-CN"/>
        </w:rPr>
      </w:pPr>
      <w:r>
        <w:rPr>
          <w:rFonts w:hint="eastAsia"/>
          <w:color w:val="auto"/>
          <w:kern w:val="2"/>
          <w:sz w:val="24"/>
          <w:szCs w:val="24"/>
          <w:highlight w:val="none"/>
          <w:lang w:val="en-US" w:eastAsia="zh-CN"/>
        </w:rPr>
        <w:t>“</w:t>
      </w:r>
      <w:r>
        <w:rPr>
          <w:rFonts w:hint="eastAsia" w:ascii="宋体" w:hAnsi="宋体" w:eastAsia="宋体"/>
          <w:color w:val="auto"/>
          <w:kern w:val="2"/>
          <w:sz w:val="24"/>
          <w:szCs w:val="24"/>
          <w:highlight w:val="none"/>
          <w:lang w:val="en-US" w:eastAsia="zh-CN"/>
        </w:rPr>
        <w:t>职工薪酬</w:t>
      </w:r>
      <w:r>
        <w:rPr>
          <w:rFonts w:hint="eastAsia"/>
          <w:color w:val="auto"/>
          <w:kern w:val="2"/>
          <w:sz w:val="24"/>
          <w:szCs w:val="24"/>
          <w:highlight w:val="none"/>
          <w:lang w:val="en-US" w:eastAsia="zh-CN"/>
        </w:rPr>
        <w:t>-</w:t>
      </w:r>
      <w:r>
        <w:rPr>
          <w:rFonts w:hint="eastAsia" w:ascii="宋体" w:hAnsi="宋体" w:eastAsia="宋体"/>
          <w:color w:val="auto"/>
          <w:kern w:val="2"/>
          <w:sz w:val="24"/>
          <w:szCs w:val="24"/>
          <w:highlight w:val="none"/>
          <w:lang w:val="en-US" w:eastAsia="zh-CN"/>
        </w:rPr>
        <w:t>实际支付给职工的应付职工薪酬</w:t>
      </w:r>
      <w:r>
        <w:rPr>
          <w:rFonts w:hint="eastAsia"/>
          <w:color w:val="auto"/>
          <w:kern w:val="2"/>
          <w:sz w:val="24"/>
          <w:szCs w:val="24"/>
          <w:highlight w:val="none"/>
          <w:lang w:val="en-US" w:eastAsia="zh-CN"/>
        </w:rPr>
        <w:t>”：填报</w:t>
      </w:r>
      <w:r>
        <w:rPr>
          <w:rFonts w:hint="eastAsia"/>
          <w:color w:val="auto"/>
          <w:highlight w:val="none"/>
        </w:rPr>
        <w:t>纳税人</w:t>
      </w:r>
      <w:r>
        <w:rPr>
          <w:rFonts w:hint="eastAsia"/>
          <w:color w:val="auto"/>
          <w:highlight w:val="none"/>
          <w:lang w:val="en-US" w:eastAsia="zh-CN"/>
        </w:rPr>
        <w:t>“应付职工薪酬”会计科目下工资薪金借方发生额累计金额。</w:t>
      </w:r>
    </w:p>
    <w:p>
      <w:pPr>
        <w:pStyle w:val="11"/>
        <w:snapToGrid w:val="0"/>
        <w:spacing w:line="360" w:lineRule="auto"/>
        <w:textAlignment w:val="baseline"/>
        <w:rPr>
          <w:rFonts w:hint="eastAsia"/>
          <w:color w:val="auto"/>
          <w:kern w:val="2"/>
          <w:sz w:val="24"/>
          <w:szCs w:val="24"/>
          <w:highlight w:val="none"/>
          <w:lang w:val="en-US" w:eastAsia="zh-CN"/>
        </w:rPr>
      </w:pPr>
      <w:r>
        <w:rPr>
          <w:rFonts w:hint="eastAsia"/>
          <w:color w:val="auto"/>
          <w:kern w:val="2"/>
          <w:sz w:val="24"/>
          <w:szCs w:val="24"/>
          <w:highlight w:val="none"/>
          <w:lang w:val="en-US" w:eastAsia="zh-CN"/>
        </w:rPr>
        <w:t>事项2.“</w:t>
      </w:r>
      <w:r>
        <w:rPr>
          <w:rFonts w:hint="eastAsia" w:ascii="宋体" w:hAnsi="宋体" w:eastAsia="宋体"/>
          <w:color w:val="auto"/>
          <w:kern w:val="2"/>
          <w:sz w:val="24"/>
          <w:szCs w:val="24"/>
          <w:highlight w:val="none"/>
        </w:rPr>
        <w:t>出口</w:t>
      </w:r>
      <w:r>
        <w:rPr>
          <w:rFonts w:hint="eastAsia" w:ascii="宋体" w:hAnsi="宋体" w:eastAsia="宋体"/>
          <w:color w:val="auto"/>
          <w:kern w:val="2"/>
          <w:sz w:val="24"/>
          <w:szCs w:val="24"/>
          <w:highlight w:val="none"/>
          <w:lang w:val="en-US" w:eastAsia="zh-CN"/>
        </w:rPr>
        <w:t>方式</w:t>
      </w:r>
      <w:r>
        <w:rPr>
          <w:rFonts w:hint="eastAsia"/>
          <w:color w:val="auto"/>
          <w:kern w:val="2"/>
          <w:sz w:val="24"/>
          <w:szCs w:val="24"/>
          <w:highlight w:val="none"/>
          <w:lang w:val="en-US" w:eastAsia="zh-CN"/>
        </w:rPr>
        <w:t>”</w:t>
      </w:r>
      <w:r>
        <w:rPr>
          <w:rFonts w:hint="eastAsia" w:ascii="宋体" w:hAnsi="宋体" w:eastAsia="宋体"/>
          <w:color w:val="auto"/>
          <w:kern w:val="2"/>
          <w:sz w:val="24"/>
          <w:szCs w:val="24"/>
          <w:highlight w:val="none"/>
        </w:rPr>
        <w:t>：</w:t>
      </w:r>
      <w:r>
        <w:rPr>
          <w:rFonts w:hint="eastAsia"/>
          <w:color w:val="auto"/>
          <w:kern w:val="2"/>
          <w:sz w:val="24"/>
          <w:szCs w:val="24"/>
          <w:highlight w:val="none"/>
          <w:lang w:val="en-US" w:eastAsia="zh-CN"/>
        </w:rPr>
        <w:t>填报纳税人具体出口业务方式，在“发生了自营出口业务\发生了委托出口业务\承担了代理出口业务”中进行选择填报，可复选。</w:t>
      </w:r>
    </w:p>
    <w:p>
      <w:pPr>
        <w:pStyle w:val="11"/>
        <w:snapToGrid w:val="0"/>
        <w:spacing w:line="360" w:lineRule="auto"/>
        <w:textAlignment w:val="baseline"/>
        <w:rPr>
          <w:rFonts w:hint="eastAsia" w:ascii="宋体" w:hAnsi="宋体" w:eastAsia="宋体"/>
          <w:color w:val="auto"/>
          <w:kern w:val="2"/>
          <w:sz w:val="24"/>
          <w:szCs w:val="24"/>
          <w:highlight w:val="none"/>
        </w:rPr>
      </w:pPr>
      <w:r>
        <w:rPr>
          <w:rFonts w:hint="eastAsia"/>
          <w:color w:val="auto"/>
          <w:highlight w:val="none"/>
          <w:lang w:val="en-US" w:eastAsia="zh-CN"/>
        </w:rPr>
        <w:t>事项3：</w:t>
      </w:r>
      <w:r>
        <w:rPr>
          <w:rFonts w:hint="eastAsia"/>
          <w:color w:val="auto"/>
          <w:highlight w:val="none"/>
          <w:lang w:eastAsia="zh-CN"/>
        </w:rPr>
        <w:t>根据</w:t>
      </w:r>
      <w:r>
        <w:rPr>
          <w:rFonts w:hint="eastAsia"/>
          <w:color w:val="auto"/>
          <w:highlight w:val="none"/>
        </w:rPr>
        <w:t>《企业所得税申报事项目录》中选择适用的附报事项填入本项。同时发生多个事项，可以增加行次。</w:t>
      </w:r>
    </w:p>
    <w:p>
      <w:pPr>
        <w:pStyle w:val="12"/>
        <w:snapToGrid w:val="0"/>
        <w:spacing w:line="360" w:lineRule="auto"/>
        <w:textAlignment w:val="baseline"/>
        <w:rPr>
          <w:rFonts w:hint="eastAsia" w:ascii="宋体" w:hAnsi="宋体" w:eastAsia="宋体" w:cs="宋体"/>
          <w:color w:val="auto"/>
          <w:highlight w:val="none"/>
        </w:rPr>
      </w:pPr>
      <w:r>
        <w:rPr>
          <w:rFonts w:hint="eastAsia" w:ascii="黑体" w:hAnsi="黑体" w:eastAsia="黑体"/>
          <w:color w:val="auto"/>
          <w:highlight w:val="none"/>
        </w:rPr>
        <w:t>四、预缴税款计算</w:t>
      </w:r>
    </w:p>
    <w:p>
      <w:pPr>
        <w:pStyle w:val="11"/>
        <w:snapToGrid w:val="0"/>
        <w:spacing w:line="360" w:lineRule="auto"/>
        <w:textAlignment w:val="baseline"/>
        <w:rPr>
          <w:rFonts w:hint="eastAsia"/>
          <w:color w:val="auto"/>
          <w:highlight w:val="none"/>
        </w:rPr>
      </w:pPr>
      <w:r>
        <w:rPr>
          <w:rFonts w:hint="eastAsia"/>
          <w:color w:val="auto"/>
          <w:highlight w:val="none"/>
          <w:lang w:val="en-US" w:eastAsia="zh-CN"/>
        </w:rPr>
        <w:t>第1-18行</w:t>
      </w:r>
      <w:r>
        <w:rPr>
          <w:rFonts w:hint="eastAsia"/>
          <w:color w:val="auto"/>
          <w:highlight w:val="none"/>
        </w:rPr>
        <w:t>按照国家统一会计制度规定计算填报。</w:t>
      </w:r>
      <w:bookmarkStart w:id="2" w:name="_Hlk164241768"/>
      <w:r>
        <w:rPr>
          <w:rFonts w:hint="eastAsia"/>
          <w:color w:val="auto"/>
          <w:highlight w:val="none"/>
        </w:rPr>
        <w:t>执</w:t>
      </w:r>
      <w:bookmarkEnd w:id="2"/>
      <w:r>
        <w:rPr>
          <w:rFonts w:hint="eastAsia"/>
          <w:color w:val="auto"/>
          <w:highlight w:val="none"/>
        </w:rPr>
        <w:t>行企业会计准则、小企业会计准则、企业会计制度等的纳税人，其</w:t>
      </w:r>
      <w:r>
        <w:rPr>
          <w:rFonts w:hint="eastAsia"/>
          <w:color w:val="auto"/>
          <w:highlight w:val="none"/>
          <w:lang w:eastAsia="zh-CN"/>
        </w:rPr>
        <w:t>申报</w:t>
      </w:r>
      <w:r>
        <w:rPr>
          <w:rFonts w:hint="eastAsia"/>
          <w:color w:val="auto"/>
          <w:highlight w:val="none"/>
        </w:rPr>
        <w:t>数据直接取自《利润表》（另有说明的除外）；执行</w:t>
      </w:r>
      <w:bookmarkStart w:id="3" w:name="_Hlk134867403"/>
      <w:r>
        <w:rPr>
          <w:rFonts w:hint="eastAsia"/>
          <w:color w:val="auto"/>
          <w:highlight w:val="none"/>
        </w:rPr>
        <w:t>政府会计准则制度</w:t>
      </w:r>
      <w:bookmarkEnd w:id="3"/>
      <w:r>
        <w:rPr>
          <w:rFonts w:hint="eastAsia"/>
          <w:color w:val="auto"/>
          <w:highlight w:val="none"/>
        </w:rPr>
        <w:t>的纳税人，其</w:t>
      </w:r>
      <w:r>
        <w:rPr>
          <w:rFonts w:hint="eastAsia"/>
          <w:color w:val="auto"/>
          <w:highlight w:val="none"/>
          <w:lang w:eastAsia="zh-CN"/>
        </w:rPr>
        <w:t>申报</w:t>
      </w:r>
      <w:r>
        <w:rPr>
          <w:rFonts w:hint="eastAsia"/>
          <w:color w:val="auto"/>
          <w:highlight w:val="none"/>
        </w:rPr>
        <w:t>数据取自《收入支出表》；执行民间非营利组织会计制度的纳税人，其</w:t>
      </w:r>
      <w:r>
        <w:rPr>
          <w:rFonts w:hint="eastAsia"/>
          <w:color w:val="auto"/>
          <w:highlight w:val="none"/>
          <w:lang w:eastAsia="zh-CN"/>
        </w:rPr>
        <w:t>申报</w:t>
      </w:r>
      <w:r>
        <w:rPr>
          <w:rFonts w:hint="eastAsia"/>
          <w:color w:val="auto"/>
          <w:highlight w:val="none"/>
        </w:rPr>
        <w:t>数据取自《业务活动表》；执行其他国家统一会计制度的纳税人，根据本表项目进行分析填报。</w:t>
      </w:r>
    </w:p>
    <w:p>
      <w:pPr>
        <w:pStyle w:val="11"/>
        <w:snapToGrid w:val="0"/>
        <w:spacing w:line="360" w:lineRule="auto"/>
        <w:textAlignment w:val="baseline"/>
        <w:rPr>
          <w:rFonts w:hint="eastAsia"/>
          <w:color w:val="auto"/>
          <w:highlight w:val="none"/>
        </w:rPr>
      </w:pPr>
      <w:r>
        <w:rPr>
          <w:rFonts w:hint="eastAsia"/>
          <w:color w:val="auto"/>
          <w:highlight w:val="none"/>
        </w:rPr>
        <w:t>预缴方式为“按照实际利润额预缴”的纳税人，填报第1行至第</w:t>
      </w:r>
      <w:r>
        <w:rPr>
          <w:rFonts w:hint="eastAsia"/>
          <w:color w:val="auto"/>
          <w:highlight w:val="none"/>
          <w:lang w:val="en-US" w:eastAsia="zh-CN"/>
        </w:rPr>
        <w:t>32</w:t>
      </w:r>
      <w:r>
        <w:rPr>
          <w:rFonts w:hint="eastAsia"/>
          <w:color w:val="auto"/>
          <w:highlight w:val="none"/>
        </w:rPr>
        <w:t>行，预缴方式为“按照上一纳税年度应纳税所得额平均额预缴”的纳税人填报第2</w:t>
      </w:r>
      <w:r>
        <w:rPr>
          <w:rFonts w:hint="eastAsia"/>
          <w:color w:val="auto"/>
          <w:highlight w:val="none"/>
          <w:lang w:val="en-US" w:eastAsia="zh-CN"/>
        </w:rPr>
        <w:t>5行至</w:t>
      </w:r>
      <w:r>
        <w:rPr>
          <w:rFonts w:hint="eastAsia"/>
          <w:color w:val="auto"/>
          <w:highlight w:val="none"/>
        </w:rPr>
        <w:t>第</w:t>
      </w:r>
      <w:r>
        <w:rPr>
          <w:rFonts w:hint="eastAsia"/>
          <w:color w:val="auto"/>
          <w:highlight w:val="none"/>
          <w:lang w:val="en-US" w:eastAsia="zh-CN"/>
        </w:rPr>
        <w:t>30行、第32</w:t>
      </w:r>
      <w:r>
        <w:rPr>
          <w:rFonts w:hint="eastAsia"/>
          <w:color w:val="auto"/>
          <w:highlight w:val="none"/>
        </w:rPr>
        <w:t>行，预缴方式为“按照税务机关确定的其他方法预缴”的纳税人填报第</w:t>
      </w:r>
      <w:r>
        <w:rPr>
          <w:rFonts w:hint="eastAsia"/>
          <w:color w:val="auto"/>
          <w:highlight w:val="none"/>
          <w:lang w:val="en-US" w:eastAsia="zh-CN"/>
        </w:rPr>
        <w:t>32</w:t>
      </w:r>
      <w:r>
        <w:rPr>
          <w:rFonts w:hint="eastAsia"/>
          <w:color w:val="auto"/>
          <w:highlight w:val="none"/>
        </w:rPr>
        <w:t>行。</w:t>
      </w:r>
    </w:p>
    <w:p>
      <w:pPr>
        <w:pStyle w:val="11"/>
        <w:snapToGrid w:val="0"/>
        <w:spacing w:line="360" w:lineRule="auto"/>
        <w:textAlignment w:val="baseline"/>
        <w:rPr>
          <w:rFonts w:cs="Times New Roman"/>
          <w:color w:val="auto"/>
          <w:highlight w:val="none"/>
        </w:rPr>
      </w:pPr>
      <w:r>
        <w:rPr>
          <w:color w:val="auto"/>
          <w:highlight w:val="none"/>
        </w:rPr>
        <w:t>1.</w:t>
      </w:r>
      <w:r>
        <w:rPr>
          <w:rFonts w:hint="eastAsia"/>
          <w:color w:val="auto"/>
          <w:highlight w:val="none"/>
        </w:rPr>
        <w:t>第</w:t>
      </w:r>
      <w:r>
        <w:rPr>
          <w:color w:val="auto"/>
          <w:highlight w:val="none"/>
        </w:rPr>
        <w:t>1</w:t>
      </w:r>
      <w:r>
        <w:rPr>
          <w:rFonts w:hint="eastAsia"/>
          <w:color w:val="auto"/>
          <w:highlight w:val="none"/>
        </w:rPr>
        <w:t>行“营业收入”：填报纳税人主要经营业务和其他经营业务取得的累计营业收入。</w:t>
      </w:r>
      <w:bookmarkStart w:id="4" w:name="书签1"/>
      <w:bookmarkEnd w:id="4"/>
    </w:p>
    <w:p>
      <w:pPr>
        <w:pStyle w:val="11"/>
        <w:snapToGrid w:val="0"/>
        <w:spacing w:line="360" w:lineRule="auto"/>
        <w:textAlignment w:val="baseline"/>
        <w:rPr>
          <w:rFonts w:hint="eastAsia"/>
          <w:color w:val="auto"/>
          <w:highlight w:val="none"/>
        </w:rPr>
      </w:pPr>
      <w:r>
        <w:rPr>
          <w:rFonts w:hint="eastAsia"/>
          <w:color w:val="auto"/>
          <w:highlight w:val="none"/>
        </w:rPr>
        <w:t>如：以前年度已经开始经营且按季度预缴纳税申报的纳税人，第二季度预缴纳税申报时本行填报本年</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日至</w:t>
      </w:r>
      <w:r>
        <w:rPr>
          <w:color w:val="auto"/>
          <w:highlight w:val="none"/>
        </w:rPr>
        <w:t>6</w:t>
      </w:r>
      <w:r>
        <w:rPr>
          <w:rFonts w:hint="eastAsia"/>
          <w:color w:val="auto"/>
          <w:highlight w:val="none"/>
        </w:rPr>
        <w:t>月</w:t>
      </w:r>
      <w:r>
        <w:rPr>
          <w:color w:val="auto"/>
          <w:highlight w:val="none"/>
        </w:rPr>
        <w:t>30</w:t>
      </w:r>
      <w:r>
        <w:rPr>
          <w:rFonts w:hint="eastAsia"/>
          <w:color w:val="auto"/>
          <w:highlight w:val="none"/>
        </w:rPr>
        <w:t>日期间的累计营业收入。</w:t>
      </w:r>
    </w:p>
    <w:p>
      <w:pPr>
        <w:pStyle w:val="11"/>
        <w:snapToGrid w:val="0"/>
        <w:spacing w:line="360" w:lineRule="auto"/>
        <w:textAlignment w:val="baseline"/>
        <w:rPr>
          <w:rFonts w:hint="eastAsia"/>
          <w:color w:val="auto"/>
          <w:highlight w:val="none"/>
        </w:rPr>
      </w:pPr>
      <w:r>
        <w:rPr>
          <w:rFonts w:hint="eastAsia"/>
          <w:color w:val="auto"/>
          <w:highlight w:val="none"/>
          <w:lang w:val="en-US" w:eastAsia="zh-CN"/>
        </w:rPr>
        <w:t>2.</w:t>
      </w:r>
      <w:r>
        <w:rPr>
          <w:rFonts w:hint="eastAsia"/>
          <w:color w:val="auto"/>
          <w:highlight w:val="none"/>
        </w:rPr>
        <w:t>第1.1行“其中：</w:t>
      </w:r>
      <w:r>
        <w:rPr>
          <w:rFonts w:hint="eastAsia"/>
          <w:color w:val="auto"/>
          <w:highlight w:val="none"/>
          <w:lang w:eastAsia="zh-CN"/>
        </w:rPr>
        <w:t>自营</w:t>
      </w:r>
      <w:r>
        <w:rPr>
          <w:rFonts w:hint="eastAsia"/>
          <w:color w:val="auto"/>
          <w:highlight w:val="none"/>
        </w:rPr>
        <w:t>出口收入”：填报纳税人按照国家统一会计制度规定核算的本年累计</w:t>
      </w:r>
      <w:r>
        <w:rPr>
          <w:rFonts w:hint="eastAsia"/>
          <w:color w:val="auto"/>
          <w:highlight w:val="none"/>
          <w:lang w:eastAsia="zh-CN"/>
        </w:rPr>
        <w:t>自营</w:t>
      </w:r>
      <w:r>
        <w:rPr>
          <w:rFonts w:hint="eastAsia"/>
          <w:color w:val="auto"/>
          <w:highlight w:val="none"/>
        </w:rPr>
        <w:t>出口收入。通过自营方式出口货物的，企业应申报其出口本企业生产销售货物对应的收入。</w:t>
      </w:r>
    </w:p>
    <w:p>
      <w:pPr>
        <w:pStyle w:val="11"/>
        <w:snapToGrid w:val="0"/>
        <w:spacing w:line="360" w:lineRule="auto"/>
        <w:textAlignment w:val="baseline"/>
        <w:rPr>
          <w:rFonts w:hint="eastAsia"/>
          <w:color w:val="auto"/>
          <w:highlight w:val="none"/>
        </w:rPr>
      </w:pPr>
      <w:r>
        <w:rPr>
          <w:rFonts w:hint="eastAsia"/>
          <w:color w:val="auto"/>
          <w:highlight w:val="none"/>
          <w:lang w:val="en-US" w:eastAsia="zh-CN"/>
        </w:rPr>
        <w:t>3.</w:t>
      </w:r>
      <w:r>
        <w:rPr>
          <w:rFonts w:hint="eastAsia"/>
          <w:color w:val="auto"/>
          <w:highlight w:val="none"/>
        </w:rPr>
        <w:t>第1.</w:t>
      </w:r>
      <w:r>
        <w:rPr>
          <w:rFonts w:hint="eastAsia"/>
          <w:color w:val="auto"/>
          <w:highlight w:val="none"/>
          <w:lang w:val="en-US" w:eastAsia="zh-CN"/>
        </w:rPr>
        <w:t>2</w:t>
      </w:r>
      <w:r>
        <w:rPr>
          <w:rFonts w:hint="eastAsia"/>
          <w:color w:val="auto"/>
          <w:highlight w:val="none"/>
        </w:rPr>
        <w:t>行“</w:t>
      </w:r>
      <w:r>
        <w:rPr>
          <w:rFonts w:hint="eastAsia" w:ascii="宋体" w:hAnsi="宋体" w:eastAsia="宋体" w:cs="宋体"/>
          <w:color w:val="auto"/>
          <w:sz w:val="24"/>
          <w:szCs w:val="24"/>
          <w:highlight w:val="none"/>
          <w:lang w:val="en-US" w:eastAsia="zh-CN"/>
        </w:rPr>
        <w:t>委托出口收入</w:t>
      </w:r>
      <w:r>
        <w:rPr>
          <w:rFonts w:hint="eastAsia" w:cs="宋体"/>
          <w:color w:val="auto"/>
          <w:sz w:val="24"/>
          <w:szCs w:val="24"/>
          <w:highlight w:val="none"/>
          <w:lang w:val="en-US" w:eastAsia="zh-CN"/>
        </w:rPr>
        <w:t>”：</w:t>
      </w:r>
      <w:r>
        <w:rPr>
          <w:rFonts w:hint="eastAsia"/>
          <w:color w:val="auto"/>
          <w:highlight w:val="none"/>
        </w:rPr>
        <w:t>填报纳税人按照国家统一会计制度规定核算的本年累计</w:t>
      </w:r>
      <w:r>
        <w:rPr>
          <w:rFonts w:hint="eastAsia"/>
          <w:color w:val="auto"/>
          <w:highlight w:val="none"/>
          <w:lang w:eastAsia="zh-CN"/>
        </w:rPr>
        <w:t>委托</w:t>
      </w:r>
      <w:r>
        <w:rPr>
          <w:rFonts w:hint="eastAsia"/>
          <w:color w:val="auto"/>
          <w:highlight w:val="none"/>
        </w:rPr>
        <w:t>出口收入。通过委托方式出口货物的，应申报其委托相关代理企业出口本企业货物对应的收入。</w:t>
      </w:r>
    </w:p>
    <w:p>
      <w:pPr>
        <w:pStyle w:val="11"/>
        <w:snapToGrid w:val="0"/>
        <w:spacing w:line="360" w:lineRule="auto"/>
        <w:textAlignment w:val="baseline"/>
        <w:rPr>
          <w:rFonts w:hint="eastAsia"/>
          <w:color w:val="auto"/>
          <w:highlight w:val="none"/>
        </w:rPr>
      </w:pPr>
      <w:r>
        <w:rPr>
          <w:rFonts w:hint="eastAsia"/>
          <w:color w:val="auto"/>
          <w:highlight w:val="none"/>
          <w:lang w:val="en-US" w:eastAsia="zh-CN"/>
        </w:rPr>
        <w:t>4.</w:t>
      </w:r>
      <w:r>
        <w:rPr>
          <w:rFonts w:hint="eastAsia"/>
          <w:color w:val="auto"/>
          <w:highlight w:val="none"/>
        </w:rPr>
        <w:t>第1.</w:t>
      </w:r>
      <w:r>
        <w:rPr>
          <w:rFonts w:hint="eastAsia"/>
          <w:color w:val="auto"/>
          <w:highlight w:val="none"/>
          <w:lang w:val="en-US" w:eastAsia="zh-CN"/>
        </w:rPr>
        <w:t>3</w:t>
      </w:r>
      <w:r>
        <w:rPr>
          <w:rFonts w:hint="eastAsia"/>
          <w:color w:val="auto"/>
          <w:highlight w:val="none"/>
        </w:rPr>
        <w:t>行“</w:t>
      </w:r>
      <w:r>
        <w:rPr>
          <w:rFonts w:hint="eastAsia"/>
          <w:color w:val="auto"/>
          <w:highlight w:val="none"/>
          <w:lang w:eastAsia="zh-CN"/>
        </w:rPr>
        <w:t>出口代理费收入”：</w:t>
      </w:r>
      <w:r>
        <w:rPr>
          <w:rFonts w:hint="eastAsia"/>
          <w:color w:val="auto"/>
          <w:highlight w:val="none"/>
        </w:rPr>
        <w:t>填报纳税人按照国家统一会计制度规定核算的本年累计</w:t>
      </w:r>
      <w:r>
        <w:rPr>
          <w:rFonts w:hint="eastAsia"/>
          <w:color w:val="auto"/>
          <w:highlight w:val="none"/>
          <w:lang w:eastAsia="zh-CN"/>
        </w:rPr>
        <w:t>出口代理费收入。</w:t>
      </w:r>
    </w:p>
    <w:p>
      <w:pPr>
        <w:pStyle w:val="11"/>
        <w:snapToGrid w:val="0"/>
        <w:spacing w:line="360" w:lineRule="auto"/>
        <w:textAlignment w:val="baseline"/>
        <w:rPr>
          <w:rFonts w:cs="Times New Roman"/>
          <w:color w:val="auto"/>
          <w:highlight w:val="none"/>
        </w:rPr>
      </w:pPr>
      <w:r>
        <w:rPr>
          <w:rFonts w:hint="eastAsia"/>
          <w:color w:val="auto"/>
          <w:highlight w:val="none"/>
          <w:lang w:val="en-US" w:eastAsia="zh-CN"/>
        </w:rPr>
        <w:t>5</w:t>
      </w:r>
      <w:r>
        <w:rPr>
          <w:color w:val="auto"/>
          <w:highlight w:val="none"/>
        </w:rPr>
        <w:t>.</w:t>
      </w:r>
      <w:r>
        <w:rPr>
          <w:rFonts w:hint="eastAsia"/>
          <w:color w:val="auto"/>
          <w:highlight w:val="none"/>
        </w:rPr>
        <w:t>第</w:t>
      </w:r>
      <w:r>
        <w:rPr>
          <w:color w:val="auto"/>
          <w:highlight w:val="none"/>
        </w:rPr>
        <w:t>2</w:t>
      </w:r>
      <w:r>
        <w:rPr>
          <w:rFonts w:hint="eastAsia"/>
          <w:color w:val="auto"/>
          <w:highlight w:val="none"/>
        </w:rPr>
        <w:t>行“营业成本”：填报纳税人主要经营业务和其他经营业务发生的累计营业成本。</w:t>
      </w:r>
    </w:p>
    <w:p>
      <w:pPr>
        <w:pStyle w:val="11"/>
        <w:snapToGrid w:val="0"/>
        <w:spacing w:line="360" w:lineRule="auto"/>
        <w:textAlignment w:val="baseline"/>
        <w:rPr>
          <w:color w:val="auto"/>
          <w:highlight w:val="none"/>
        </w:rPr>
      </w:pPr>
      <w:r>
        <w:rPr>
          <w:rFonts w:hint="eastAsia"/>
          <w:color w:val="auto"/>
          <w:highlight w:val="none"/>
          <w:lang w:val="en-US" w:eastAsia="zh-CN"/>
        </w:rPr>
        <w:t>6</w:t>
      </w:r>
      <w:r>
        <w:rPr>
          <w:color w:val="auto"/>
          <w:highlight w:val="none"/>
        </w:rPr>
        <w:t>.</w:t>
      </w:r>
      <w:r>
        <w:rPr>
          <w:rFonts w:hint="eastAsia"/>
          <w:color w:val="auto"/>
          <w:highlight w:val="none"/>
        </w:rPr>
        <w:t>第</w:t>
      </w:r>
      <w:r>
        <w:rPr>
          <w:color w:val="auto"/>
          <w:highlight w:val="none"/>
        </w:rPr>
        <w:t>3</w:t>
      </w:r>
      <w:r>
        <w:rPr>
          <w:rFonts w:hint="eastAsia"/>
          <w:color w:val="auto"/>
          <w:highlight w:val="none"/>
        </w:rPr>
        <w:t>行“税金及附加”：填报纳税人经营活动发生的消费税、城市维护建设税、资源税、土地增值税和教育费附加等相关税费。本行根据纳税人相关会计科目填报。纳税人在其他会计科目核算的税金不得重复填报。</w:t>
      </w:r>
    </w:p>
    <w:p>
      <w:pPr>
        <w:pStyle w:val="11"/>
        <w:snapToGrid w:val="0"/>
        <w:spacing w:line="360" w:lineRule="auto"/>
        <w:textAlignment w:val="baseline"/>
        <w:rPr>
          <w:rFonts w:hint="eastAsia"/>
          <w:color w:val="auto"/>
          <w:highlight w:val="none"/>
        </w:rPr>
      </w:pPr>
      <w:r>
        <w:rPr>
          <w:rFonts w:hint="eastAsia"/>
          <w:color w:val="auto"/>
          <w:highlight w:val="none"/>
          <w:lang w:val="en-US" w:eastAsia="zh-CN"/>
        </w:rPr>
        <w:t>7</w:t>
      </w:r>
      <w:r>
        <w:rPr>
          <w:rFonts w:hint="eastAsia"/>
          <w:color w:val="auto"/>
          <w:highlight w:val="none"/>
        </w:rPr>
        <w:t>.第4行“</w:t>
      </w:r>
      <w:r>
        <w:rPr>
          <w:rFonts w:hint="eastAsia"/>
          <w:color w:val="auto"/>
          <w:highlight w:val="none"/>
          <w:lang w:val="en-US" w:eastAsia="zh-CN"/>
        </w:rPr>
        <w:t>销售</w:t>
      </w:r>
      <w:r>
        <w:rPr>
          <w:rFonts w:hint="eastAsia"/>
          <w:color w:val="auto"/>
          <w:highlight w:val="none"/>
        </w:rPr>
        <w:t>费用”：填报纳税人</w:t>
      </w:r>
      <w:r>
        <w:rPr>
          <w:rFonts w:hint="eastAsia" w:ascii="宋体" w:hAnsi="宋体" w:eastAsia="宋体" w:cs="宋体"/>
          <w:color w:val="auto"/>
          <w:highlight w:val="none"/>
        </w:rPr>
        <w:t>在销售商品和材料、提供劳务的过程中发生的各种费用</w:t>
      </w:r>
      <w:r>
        <w:rPr>
          <w:rFonts w:hint="eastAsia"/>
          <w:color w:val="auto"/>
          <w:highlight w:val="none"/>
        </w:rPr>
        <w:t>累计金额。</w:t>
      </w:r>
    </w:p>
    <w:p>
      <w:pPr>
        <w:pStyle w:val="11"/>
        <w:snapToGrid w:val="0"/>
        <w:spacing w:line="360" w:lineRule="auto"/>
        <w:textAlignment w:val="baseline"/>
        <w:rPr>
          <w:rFonts w:hint="eastAsia" w:eastAsia="宋体"/>
          <w:color w:val="auto"/>
          <w:highlight w:val="none"/>
          <w:lang w:eastAsia="zh-CN"/>
        </w:rPr>
      </w:pPr>
      <w:r>
        <w:rPr>
          <w:rFonts w:hint="eastAsia"/>
          <w:color w:val="auto"/>
          <w:highlight w:val="none"/>
          <w:lang w:val="en-US" w:eastAsia="zh-CN"/>
        </w:rPr>
        <w:t>8.</w:t>
      </w:r>
      <w:r>
        <w:rPr>
          <w:rFonts w:hint="eastAsia"/>
          <w:color w:val="auto"/>
          <w:highlight w:val="none"/>
        </w:rPr>
        <w:t>第</w:t>
      </w:r>
      <w:r>
        <w:rPr>
          <w:rFonts w:hint="eastAsia"/>
          <w:color w:val="auto"/>
          <w:highlight w:val="none"/>
          <w:lang w:val="en-US" w:eastAsia="zh-CN"/>
        </w:rPr>
        <w:t>5</w:t>
      </w:r>
      <w:r>
        <w:rPr>
          <w:rFonts w:hint="eastAsia"/>
          <w:color w:val="auto"/>
          <w:highlight w:val="none"/>
        </w:rPr>
        <w:t>行“</w:t>
      </w:r>
      <w:r>
        <w:rPr>
          <w:rFonts w:hint="eastAsia"/>
          <w:color w:val="auto"/>
          <w:highlight w:val="none"/>
          <w:lang w:val="en-US" w:eastAsia="zh-CN"/>
        </w:rPr>
        <w:t>管理</w:t>
      </w:r>
      <w:r>
        <w:rPr>
          <w:rFonts w:hint="eastAsia"/>
          <w:color w:val="auto"/>
          <w:highlight w:val="none"/>
        </w:rPr>
        <w:t>费用”：填报纳税人</w:t>
      </w:r>
      <w:r>
        <w:rPr>
          <w:rFonts w:hint="eastAsia" w:ascii="宋体" w:hAnsi="宋体" w:eastAsia="宋体" w:cs="宋体"/>
          <w:color w:val="auto"/>
          <w:highlight w:val="none"/>
        </w:rPr>
        <w:t>为组织和管理企业生产经营发生的</w:t>
      </w:r>
      <w:r>
        <w:rPr>
          <w:rFonts w:hint="eastAsia" w:cs="宋体"/>
          <w:color w:val="auto"/>
          <w:highlight w:val="none"/>
          <w:lang w:val="en-US" w:eastAsia="zh-CN"/>
        </w:rPr>
        <w:t>累计</w:t>
      </w:r>
      <w:r>
        <w:rPr>
          <w:rFonts w:hint="eastAsia" w:ascii="宋体" w:hAnsi="宋体" w:eastAsia="宋体" w:cs="宋体"/>
          <w:color w:val="auto"/>
          <w:highlight w:val="none"/>
        </w:rPr>
        <w:t>管理费用</w:t>
      </w:r>
      <w:r>
        <w:rPr>
          <w:rFonts w:hint="eastAsia" w:cs="宋体"/>
          <w:color w:val="auto"/>
          <w:highlight w:val="none"/>
          <w:lang w:eastAsia="zh-CN"/>
        </w:rPr>
        <w:t>。</w:t>
      </w:r>
    </w:p>
    <w:p>
      <w:pPr>
        <w:pStyle w:val="11"/>
        <w:snapToGrid w:val="0"/>
        <w:spacing w:line="360" w:lineRule="auto"/>
        <w:textAlignment w:val="baseline"/>
        <w:rPr>
          <w:rFonts w:hint="eastAsia"/>
          <w:color w:val="auto"/>
          <w:highlight w:val="none"/>
        </w:rPr>
      </w:pPr>
      <w:r>
        <w:rPr>
          <w:rFonts w:hint="eastAsia"/>
          <w:color w:val="auto"/>
          <w:highlight w:val="none"/>
          <w:lang w:val="en-US" w:eastAsia="zh-CN"/>
        </w:rPr>
        <w:t>9.</w:t>
      </w:r>
      <w:r>
        <w:rPr>
          <w:rFonts w:hint="eastAsia"/>
          <w:color w:val="auto"/>
          <w:highlight w:val="none"/>
        </w:rPr>
        <w:t>第</w:t>
      </w:r>
      <w:r>
        <w:rPr>
          <w:rFonts w:hint="eastAsia"/>
          <w:color w:val="auto"/>
          <w:highlight w:val="none"/>
          <w:lang w:val="en-US" w:eastAsia="zh-CN"/>
        </w:rPr>
        <w:t>6</w:t>
      </w:r>
      <w:r>
        <w:rPr>
          <w:rFonts w:hint="eastAsia"/>
          <w:color w:val="auto"/>
          <w:highlight w:val="none"/>
        </w:rPr>
        <w:t>行“</w:t>
      </w:r>
      <w:r>
        <w:rPr>
          <w:rFonts w:hint="eastAsia"/>
          <w:color w:val="auto"/>
          <w:highlight w:val="none"/>
          <w:lang w:val="en-US" w:eastAsia="zh-CN"/>
        </w:rPr>
        <w:t>研发</w:t>
      </w:r>
      <w:r>
        <w:rPr>
          <w:rFonts w:hint="eastAsia"/>
          <w:color w:val="auto"/>
          <w:highlight w:val="none"/>
        </w:rPr>
        <w:t>费用”：填报纳税人</w:t>
      </w:r>
      <w:r>
        <w:rPr>
          <w:rFonts w:hint="eastAsia" w:ascii="宋体" w:hAnsi="宋体" w:eastAsia="宋体" w:cs="宋体"/>
          <w:color w:val="auto"/>
          <w:highlight w:val="none"/>
        </w:rPr>
        <w:t>进行研究与开发过程中发生的</w:t>
      </w:r>
      <w:r>
        <w:rPr>
          <w:rFonts w:hint="eastAsia" w:cs="宋体"/>
          <w:color w:val="auto"/>
          <w:highlight w:val="none"/>
          <w:lang w:val="en-US" w:eastAsia="zh-CN"/>
        </w:rPr>
        <w:t>累计</w:t>
      </w:r>
      <w:r>
        <w:rPr>
          <w:rFonts w:hint="eastAsia" w:ascii="宋体" w:hAnsi="宋体" w:eastAsia="宋体" w:cs="宋体"/>
          <w:color w:val="auto"/>
          <w:highlight w:val="none"/>
        </w:rPr>
        <w:t>费用化支出，以及计入管理费用的自行开发无形资产</w:t>
      </w:r>
      <w:r>
        <w:rPr>
          <w:rFonts w:hint="eastAsia" w:cs="宋体"/>
          <w:color w:val="auto"/>
          <w:highlight w:val="none"/>
          <w:lang w:val="en-US" w:eastAsia="zh-CN"/>
        </w:rPr>
        <w:t>累计</w:t>
      </w:r>
      <w:r>
        <w:rPr>
          <w:rFonts w:hint="eastAsia" w:ascii="宋体" w:hAnsi="宋体" w:eastAsia="宋体" w:cs="宋体"/>
          <w:color w:val="auto"/>
          <w:highlight w:val="none"/>
        </w:rPr>
        <w:t>摊销</w:t>
      </w:r>
      <w:r>
        <w:rPr>
          <w:rFonts w:hint="eastAsia" w:ascii="宋体" w:hAnsi="宋体" w:eastAsia="宋体" w:cs="宋体"/>
          <w:color w:val="auto"/>
          <w:highlight w:val="none"/>
          <w:lang w:eastAsia="zh-CN"/>
        </w:rPr>
        <w:t>额</w:t>
      </w:r>
      <w:r>
        <w:rPr>
          <w:rFonts w:hint="eastAsia" w:ascii="宋体" w:hAnsi="宋体" w:eastAsia="宋体" w:cs="宋体"/>
          <w:color w:val="auto"/>
          <w:highlight w:val="none"/>
        </w:rPr>
        <w:t>。</w:t>
      </w:r>
    </w:p>
    <w:p>
      <w:pPr>
        <w:pStyle w:val="11"/>
        <w:snapToGrid w:val="0"/>
        <w:spacing w:line="360" w:lineRule="auto"/>
        <w:textAlignment w:val="baseline"/>
        <w:rPr>
          <w:rFonts w:hint="eastAsia" w:eastAsia="宋体"/>
          <w:color w:val="auto"/>
          <w:highlight w:val="none"/>
          <w:lang w:val="en-US" w:eastAsia="zh-CN"/>
        </w:rPr>
      </w:pPr>
      <w:r>
        <w:rPr>
          <w:rFonts w:hint="eastAsia"/>
          <w:color w:val="auto"/>
          <w:highlight w:val="none"/>
          <w:lang w:val="en-US" w:eastAsia="zh-CN"/>
        </w:rPr>
        <w:t>10.</w:t>
      </w:r>
      <w:r>
        <w:rPr>
          <w:rFonts w:hint="eastAsia"/>
          <w:color w:val="auto"/>
          <w:highlight w:val="none"/>
        </w:rPr>
        <w:t>第</w:t>
      </w:r>
      <w:r>
        <w:rPr>
          <w:rFonts w:hint="eastAsia"/>
          <w:color w:val="auto"/>
          <w:highlight w:val="none"/>
          <w:lang w:val="en-US" w:eastAsia="zh-CN"/>
        </w:rPr>
        <w:t>7</w:t>
      </w:r>
      <w:r>
        <w:rPr>
          <w:rFonts w:hint="eastAsia"/>
          <w:color w:val="auto"/>
          <w:highlight w:val="none"/>
        </w:rPr>
        <w:t>行“</w:t>
      </w:r>
      <w:r>
        <w:rPr>
          <w:rFonts w:hint="eastAsia"/>
          <w:color w:val="auto"/>
          <w:highlight w:val="none"/>
          <w:lang w:val="en-US" w:eastAsia="zh-CN"/>
        </w:rPr>
        <w:t>财务</w:t>
      </w:r>
      <w:r>
        <w:rPr>
          <w:rFonts w:hint="eastAsia"/>
          <w:color w:val="auto"/>
          <w:highlight w:val="none"/>
        </w:rPr>
        <w:t>费用”：填报纳税人</w:t>
      </w:r>
      <w:r>
        <w:rPr>
          <w:rFonts w:hint="eastAsia" w:ascii="宋体" w:hAnsi="宋体" w:eastAsia="宋体" w:cs="宋体"/>
          <w:color w:val="auto"/>
          <w:highlight w:val="none"/>
        </w:rPr>
        <w:t>为筹集生产经营所需资金等发生的</w:t>
      </w:r>
      <w:r>
        <w:rPr>
          <w:rFonts w:hint="eastAsia" w:cs="宋体"/>
          <w:color w:val="auto"/>
          <w:highlight w:val="none"/>
          <w:lang w:val="en-US" w:eastAsia="zh-CN"/>
        </w:rPr>
        <w:t>累计</w:t>
      </w:r>
      <w:r>
        <w:rPr>
          <w:rFonts w:hint="eastAsia" w:ascii="宋体" w:hAnsi="宋体" w:eastAsia="宋体" w:cs="宋体"/>
          <w:color w:val="auto"/>
          <w:highlight w:val="none"/>
        </w:rPr>
        <w:t>筹资费用</w:t>
      </w:r>
      <w:r>
        <w:rPr>
          <w:rFonts w:hint="eastAsia" w:cs="宋体"/>
          <w:color w:val="auto"/>
          <w:highlight w:val="none"/>
          <w:lang w:eastAsia="zh-CN"/>
        </w:rPr>
        <w:t>。</w:t>
      </w:r>
    </w:p>
    <w:p>
      <w:pPr>
        <w:pStyle w:val="11"/>
        <w:snapToGrid w:val="0"/>
        <w:spacing w:line="360" w:lineRule="auto"/>
        <w:textAlignment w:val="baseline"/>
        <w:rPr>
          <w:b/>
          <w:bCs/>
          <w:color w:val="auto"/>
          <w:highlight w:val="none"/>
        </w:rPr>
      </w:pPr>
      <w:r>
        <w:rPr>
          <w:rFonts w:hint="eastAsia"/>
          <w:color w:val="auto"/>
          <w:highlight w:val="none"/>
          <w:lang w:val="en-US" w:eastAsia="zh-CN"/>
        </w:rPr>
        <w:t>11</w:t>
      </w:r>
      <w:r>
        <w:rPr>
          <w:rFonts w:hint="eastAsia"/>
          <w:color w:val="auto"/>
          <w:highlight w:val="none"/>
        </w:rPr>
        <w:t>.第</w:t>
      </w:r>
      <w:r>
        <w:rPr>
          <w:rFonts w:hint="eastAsia"/>
          <w:color w:val="auto"/>
          <w:highlight w:val="none"/>
          <w:lang w:val="en-US" w:eastAsia="zh-CN"/>
        </w:rPr>
        <w:t>8</w:t>
      </w:r>
      <w:r>
        <w:rPr>
          <w:rFonts w:hint="eastAsia"/>
          <w:color w:val="auto"/>
          <w:highlight w:val="none"/>
        </w:rPr>
        <w:t>行“其他收益”：填报纳税人计入其他收益的政府补助，以及其他与日常活动相关且计入其他收益的项目金额。本行根据“其他收益”科目的发生额分析填报。</w:t>
      </w:r>
    </w:p>
    <w:p>
      <w:pPr>
        <w:pStyle w:val="11"/>
        <w:snapToGrid w:val="0"/>
        <w:spacing w:line="360" w:lineRule="auto"/>
        <w:textAlignment w:val="baseline"/>
        <w:rPr>
          <w:rFonts w:hint="eastAsia"/>
          <w:color w:val="auto"/>
          <w:highlight w:val="none"/>
        </w:rPr>
      </w:pPr>
      <w:r>
        <w:rPr>
          <w:rFonts w:hint="eastAsia"/>
          <w:b w:val="0"/>
          <w:bCs w:val="0"/>
          <w:color w:val="auto"/>
          <w:highlight w:val="none"/>
          <w:lang w:val="en-US" w:eastAsia="zh-CN"/>
        </w:rPr>
        <w:t>12</w:t>
      </w:r>
      <w:r>
        <w:rPr>
          <w:rFonts w:hint="eastAsia"/>
          <w:color w:val="auto"/>
          <w:highlight w:val="none"/>
        </w:rPr>
        <w:t>.第</w:t>
      </w:r>
      <w:r>
        <w:rPr>
          <w:rFonts w:hint="eastAsia"/>
          <w:color w:val="auto"/>
          <w:highlight w:val="none"/>
          <w:lang w:val="en-US" w:eastAsia="zh-CN"/>
        </w:rPr>
        <w:t>9</w:t>
      </w:r>
      <w:r>
        <w:rPr>
          <w:rFonts w:hint="eastAsia"/>
          <w:color w:val="auto"/>
          <w:highlight w:val="none"/>
        </w:rPr>
        <w:t>行“投资收益”：</w:t>
      </w:r>
      <w:r>
        <w:rPr>
          <w:rFonts w:hint="eastAsia" w:ascii="宋体" w:hAnsi="宋体" w:eastAsia="宋体" w:cs="宋体"/>
          <w:color w:val="auto"/>
          <w:highlight w:val="none"/>
        </w:rPr>
        <w:t>填报纳税人以各种方式对外投资所取得的收益或发生的损失。根据“投资收益”科目的</w:t>
      </w:r>
      <w:r>
        <w:rPr>
          <w:rFonts w:hint="eastAsia" w:ascii="宋体" w:hAnsi="宋体" w:eastAsia="宋体" w:cs="宋体"/>
          <w:color w:val="auto"/>
          <w:highlight w:val="none"/>
          <w:lang w:eastAsia="zh-CN"/>
        </w:rPr>
        <w:t>发生</w:t>
      </w:r>
      <w:r>
        <w:rPr>
          <w:rFonts w:hint="eastAsia" w:ascii="宋体" w:hAnsi="宋体" w:eastAsia="宋体" w:cs="宋体"/>
          <w:color w:val="auto"/>
          <w:highlight w:val="none"/>
        </w:rPr>
        <w:t>额计算填报，损失以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号填列。</w:t>
      </w:r>
      <w:r>
        <w:rPr>
          <w:rFonts w:hint="eastAsia"/>
          <w:color w:val="auto"/>
          <w:highlight w:val="none"/>
        </w:rPr>
        <w:t>根据《企业所得税申报事项目录》，在第</w:t>
      </w:r>
      <w:r>
        <w:rPr>
          <w:rFonts w:hint="eastAsia"/>
          <w:color w:val="auto"/>
          <w:highlight w:val="none"/>
          <w:lang w:val="en-US" w:eastAsia="zh-CN"/>
        </w:rPr>
        <w:t>9</w:t>
      </w:r>
      <w:r>
        <w:rPr>
          <w:rFonts w:hint="eastAsia"/>
          <w:color w:val="auto"/>
          <w:highlight w:val="none"/>
        </w:rPr>
        <w:t>.1行、第</w:t>
      </w:r>
      <w:r>
        <w:rPr>
          <w:rFonts w:hint="eastAsia"/>
          <w:color w:val="auto"/>
          <w:highlight w:val="none"/>
          <w:lang w:val="en-US" w:eastAsia="zh-CN"/>
        </w:rPr>
        <w:t>9</w:t>
      </w:r>
      <w:r>
        <w:rPr>
          <w:rFonts w:hint="eastAsia"/>
          <w:color w:val="auto"/>
          <w:highlight w:val="none"/>
        </w:rPr>
        <w:t>.2行……填报投资收益的具体名称和累计金额。</w:t>
      </w:r>
    </w:p>
    <w:p>
      <w:pPr>
        <w:pStyle w:val="11"/>
        <w:snapToGrid w:val="0"/>
        <w:spacing w:line="360" w:lineRule="auto"/>
        <w:textAlignment w:val="baseline"/>
        <w:rPr>
          <w:color w:val="auto"/>
          <w:highlight w:val="none"/>
        </w:rPr>
      </w:pPr>
      <w:r>
        <w:rPr>
          <w:rFonts w:hint="eastAsia"/>
          <w:color w:val="auto"/>
          <w:highlight w:val="none"/>
          <w:lang w:val="en-US" w:eastAsia="zh-CN"/>
        </w:rPr>
        <w:t>13</w:t>
      </w:r>
      <w:r>
        <w:rPr>
          <w:rFonts w:hint="eastAsia"/>
          <w:color w:val="auto"/>
          <w:highlight w:val="none"/>
        </w:rPr>
        <w:t>.第</w:t>
      </w:r>
      <w:r>
        <w:rPr>
          <w:rFonts w:hint="eastAsia"/>
          <w:color w:val="auto"/>
          <w:highlight w:val="none"/>
          <w:lang w:val="en-US" w:eastAsia="zh-CN"/>
        </w:rPr>
        <w:t>10</w:t>
      </w:r>
      <w:r>
        <w:rPr>
          <w:rFonts w:hint="eastAsia"/>
          <w:color w:val="auto"/>
          <w:highlight w:val="none"/>
        </w:rPr>
        <w:t>行“净敞口套期收益”：填报纳税人净敞口套期下被套期项目累计公允价值变动转入当期损益的金额；或现金流量套期储备转入当期损益的金额。本行根据“净敞口套期损益”科目的发生额分析填报，损失以“－”号填列。</w:t>
      </w:r>
    </w:p>
    <w:p>
      <w:pPr>
        <w:pStyle w:val="11"/>
        <w:snapToGrid w:val="0"/>
        <w:spacing w:line="360" w:lineRule="auto"/>
        <w:textAlignment w:val="baseline"/>
        <w:rPr>
          <w:color w:val="auto"/>
          <w:highlight w:val="none"/>
        </w:rPr>
      </w:pPr>
      <w:r>
        <w:rPr>
          <w:rFonts w:hint="eastAsia"/>
          <w:color w:val="auto"/>
          <w:highlight w:val="none"/>
          <w:lang w:val="en-US" w:eastAsia="zh-CN"/>
        </w:rPr>
        <w:t>14</w:t>
      </w:r>
      <w:r>
        <w:rPr>
          <w:rFonts w:hint="eastAsia"/>
          <w:color w:val="auto"/>
          <w:highlight w:val="none"/>
        </w:rPr>
        <w:t>.第</w:t>
      </w:r>
      <w:r>
        <w:rPr>
          <w:rFonts w:hint="eastAsia"/>
          <w:color w:val="auto"/>
          <w:highlight w:val="none"/>
          <w:lang w:val="en-US" w:eastAsia="zh-CN"/>
        </w:rPr>
        <w:t>11</w:t>
      </w:r>
      <w:r>
        <w:rPr>
          <w:rFonts w:hint="eastAsia"/>
          <w:color w:val="auto"/>
          <w:highlight w:val="none"/>
        </w:rPr>
        <w:t>行“公允价值变动收益”：填报纳税人在初始确认时划分为以公允价值计量且其变动计入当期损益的金融资产或金融负债（包括交易性金融资产或负债，直接指定为以公允价值计量且其变动计入当期损益的金融资产或金融负债），以及采用公允价值模式计量的投资性房地产、衍生工具和套期业务中公允价值变动形成的应计入当期损益的利得或损失。本行根据“公允价值变动损益”科目的发生额填报，损失以“－”号填列。</w:t>
      </w:r>
    </w:p>
    <w:p>
      <w:pPr>
        <w:pStyle w:val="11"/>
        <w:snapToGrid w:val="0"/>
        <w:spacing w:line="360" w:lineRule="auto"/>
        <w:textAlignment w:val="baseline"/>
        <w:rPr>
          <w:rFonts w:hint="eastAsia"/>
          <w:color w:val="auto"/>
          <w:highlight w:val="none"/>
        </w:rPr>
      </w:pPr>
      <w:r>
        <w:rPr>
          <w:rFonts w:hint="eastAsia"/>
          <w:color w:val="auto"/>
          <w:highlight w:val="none"/>
        </w:rPr>
        <w:t>1</w:t>
      </w:r>
      <w:r>
        <w:rPr>
          <w:rFonts w:hint="eastAsia"/>
          <w:color w:val="auto"/>
          <w:highlight w:val="none"/>
          <w:lang w:val="en-US" w:eastAsia="zh-CN"/>
        </w:rPr>
        <w:t>5</w:t>
      </w:r>
      <w:r>
        <w:rPr>
          <w:rFonts w:hint="eastAsia"/>
          <w:color w:val="auto"/>
          <w:highlight w:val="none"/>
        </w:rPr>
        <w:t>.第</w:t>
      </w:r>
      <w:r>
        <w:rPr>
          <w:rFonts w:hint="eastAsia"/>
          <w:color w:val="auto"/>
          <w:highlight w:val="none"/>
          <w:lang w:val="en-US" w:eastAsia="zh-CN"/>
        </w:rPr>
        <w:t>12</w:t>
      </w:r>
      <w:r>
        <w:rPr>
          <w:rFonts w:hint="eastAsia"/>
          <w:color w:val="auto"/>
          <w:highlight w:val="none"/>
        </w:rPr>
        <w:t>行“信用减值损失”：填报纳税人按</w:t>
      </w:r>
      <w:r>
        <w:rPr>
          <w:rFonts w:hint="eastAsia" w:ascii="宋体" w:hAnsi="宋体" w:eastAsia="宋体" w:cs="宋体"/>
          <w:color w:val="auto"/>
          <w:highlight w:val="none"/>
        </w:rPr>
        <w:t>《企业会计准则第22号——金融工具确认和计量》（财会〔2017〕7号</w:t>
      </w:r>
      <w:r>
        <w:rPr>
          <w:rFonts w:hint="eastAsia" w:ascii="宋体" w:hAnsi="宋体" w:eastAsia="宋体" w:cs="宋体"/>
          <w:color w:val="auto"/>
          <w:highlight w:val="none"/>
          <w:lang w:eastAsia="zh-CN"/>
        </w:rPr>
        <w:t>发布</w:t>
      </w:r>
      <w:r>
        <w:rPr>
          <w:rFonts w:hint="eastAsia" w:ascii="宋体" w:hAnsi="宋体" w:eastAsia="宋体" w:cs="宋体"/>
          <w:color w:val="auto"/>
          <w:highlight w:val="none"/>
        </w:rPr>
        <w:t>）的要求</w:t>
      </w:r>
      <w:r>
        <w:rPr>
          <w:rFonts w:hint="eastAsia"/>
          <w:color w:val="auto"/>
          <w:highlight w:val="none"/>
        </w:rPr>
        <w:t>计提的各项金融工具信用减值准备所确认的信用损失。</w:t>
      </w:r>
      <w:r>
        <w:rPr>
          <w:rFonts w:hint="eastAsia"/>
          <w:color w:val="auto"/>
          <w:highlight w:val="none"/>
          <w:lang w:val="en-US" w:eastAsia="zh-CN"/>
        </w:rPr>
        <w:t>本行</w:t>
      </w:r>
      <w:r>
        <w:rPr>
          <w:rFonts w:hint="eastAsia"/>
          <w:color w:val="auto"/>
          <w:highlight w:val="none"/>
        </w:rPr>
        <w:t>应根据“信用减值损失”科目的发生额分析填报，损失以“－”号填列。实行其他会计制度的比照填报。</w:t>
      </w:r>
    </w:p>
    <w:p>
      <w:pPr>
        <w:pStyle w:val="11"/>
        <w:snapToGrid w:val="0"/>
        <w:spacing w:line="360" w:lineRule="auto"/>
        <w:textAlignment w:val="baseline"/>
        <w:rPr>
          <w:rFonts w:hint="eastAsia"/>
          <w:color w:val="auto"/>
          <w:highlight w:val="none"/>
        </w:rPr>
      </w:pPr>
      <w:r>
        <w:rPr>
          <w:rFonts w:hint="eastAsia"/>
          <w:color w:val="auto"/>
          <w:highlight w:val="none"/>
        </w:rPr>
        <w:t>1</w:t>
      </w:r>
      <w:r>
        <w:rPr>
          <w:rFonts w:hint="eastAsia"/>
          <w:color w:val="auto"/>
          <w:highlight w:val="none"/>
          <w:lang w:val="en-US" w:eastAsia="zh-CN"/>
        </w:rPr>
        <w:t>6</w:t>
      </w:r>
      <w:r>
        <w:rPr>
          <w:rFonts w:hint="eastAsia"/>
          <w:color w:val="auto"/>
          <w:highlight w:val="none"/>
        </w:rPr>
        <w:t>.第</w:t>
      </w:r>
      <w:r>
        <w:rPr>
          <w:rFonts w:hint="eastAsia"/>
          <w:color w:val="auto"/>
          <w:highlight w:val="none"/>
          <w:lang w:val="en-US" w:eastAsia="zh-CN"/>
        </w:rPr>
        <w:t>13</w:t>
      </w:r>
      <w:r>
        <w:rPr>
          <w:rFonts w:hint="eastAsia"/>
          <w:color w:val="auto"/>
          <w:highlight w:val="none"/>
        </w:rPr>
        <w:t>行“资产减值损失”：填报纳税人</w:t>
      </w:r>
      <w:r>
        <w:rPr>
          <w:rFonts w:hint="eastAsia" w:ascii="宋体" w:hAnsi="宋体" w:eastAsia="宋体" w:cs="宋体"/>
          <w:color w:val="auto"/>
          <w:highlight w:val="none"/>
        </w:rPr>
        <w:t>计提各项资产准备发生的减值损失。本行根据企业“资产减值损失”科目上的</w:t>
      </w:r>
      <w:r>
        <w:rPr>
          <w:rFonts w:hint="eastAsia" w:ascii="宋体" w:hAnsi="宋体" w:eastAsia="宋体" w:cs="宋体"/>
          <w:color w:val="auto"/>
          <w:highlight w:val="none"/>
          <w:lang w:eastAsia="zh-CN"/>
        </w:rPr>
        <w:t>发生额</w:t>
      </w:r>
      <w:r>
        <w:rPr>
          <w:rFonts w:hint="eastAsia" w:ascii="宋体" w:hAnsi="宋体" w:eastAsia="宋体" w:cs="宋体"/>
          <w:color w:val="auto"/>
          <w:highlight w:val="none"/>
        </w:rPr>
        <w:t>填报，损失以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号填列。</w:t>
      </w:r>
    </w:p>
    <w:p>
      <w:pPr>
        <w:pStyle w:val="11"/>
        <w:snapToGrid w:val="0"/>
        <w:spacing w:line="360" w:lineRule="auto"/>
        <w:textAlignment w:val="baseline"/>
        <w:rPr>
          <w:rFonts w:hint="eastAsia"/>
          <w:color w:val="auto"/>
          <w:highlight w:val="none"/>
        </w:rPr>
      </w:pPr>
      <w:r>
        <w:rPr>
          <w:rFonts w:hint="eastAsia"/>
          <w:color w:val="auto"/>
          <w:highlight w:val="none"/>
        </w:rPr>
        <w:t>1</w:t>
      </w:r>
      <w:r>
        <w:rPr>
          <w:rFonts w:hint="eastAsia"/>
          <w:color w:val="auto"/>
          <w:highlight w:val="none"/>
          <w:lang w:val="en-US" w:eastAsia="zh-CN"/>
        </w:rPr>
        <w:t>7</w:t>
      </w:r>
      <w:r>
        <w:rPr>
          <w:rFonts w:hint="eastAsia"/>
          <w:color w:val="auto"/>
          <w:highlight w:val="none"/>
        </w:rPr>
        <w:t>.第1</w:t>
      </w:r>
      <w:r>
        <w:rPr>
          <w:rFonts w:hint="eastAsia"/>
          <w:color w:val="auto"/>
          <w:highlight w:val="none"/>
          <w:lang w:val="en-US" w:eastAsia="zh-CN"/>
        </w:rPr>
        <w:t>4</w:t>
      </w:r>
      <w:r>
        <w:rPr>
          <w:rFonts w:hint="eastAsia"/>
          <w:color w:val="auto"/>
          <w:highlight w:val="none"/>
        </w:rPr>
        <w:t>行“资产处置收益”：填报纳税人出售划分为持有待售的非流动资产（金融工具、长期股权投资和投资性房地产除外）或处置组（子公司和业务除外）时确认的处置利得或损失，以及处置未划分为持有待售的固定资产、在建工程、生产性生物资产及无形资产而产生的处置利得或损失。债务重组中因处置非流动资产（金融工具、长期股权投资和投资性房地产除外）产生的利得或损失和非货币性资产交换中换出非流动资产（金融工具、长期股权投资和投资性房地产除外）产生的利得或损失也在本行填报。本行根据“资产处置损益”科目的发生额分析填报</w:t>
      </w:r>
      <w:r>
        <w:rPr>
          <w:rFonts w:hint="eastAsia"/>
          <w:color w:val="auto"/>
          <w:highlight w:val="none"/>
          <w:lang w:eastAsia="zh-CN"/>
        </w:rPr>
        <w:t>，</w:t>
      </w:r>
      <w:r>
        <w:rPr>
          <w:rFonts w:hint="eastAsia"/>
          <w:color w:val="auto"/>
          <w:highlight w:val="none"/>
        </w:rPr>
        <w:t>损失以“－”号填列。</w:t>
      </w:r>
    </w:p>
    <w:p>
      <w:pPr>
        <w:pStyle w:val="13"/>
        <w:spacing w:line="360" w:lineRule="auto"/>
        <w:ind w:firstLine="480"/>
        <w:rPr>
          <w:rFonts w:hint="eastAsia"/>
          <w:color w:val="auto"/>
          <w:highlight w:val="none"/>
        </w:rPr>
      </w:pPr>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rPr>
        <w:t>第15行“营业利润”：填报纳税人</w:t>
      </w:r>
      <w:r>
        <w:rPr>
          <w:rFonts w:hint="eastAsia" w:ascii="宋体" w:hAnsi="宋体" w:eastAsia="宋体" w:cs="宋体"/>
          <w:color w:val="auto"/>
          <w:highlight w:val="none"/>
          <w:lang w:eastAsia="zh-CN"/>
        </w:rPr>
        <w:t>本年累计</w:t>
      </w:r>
      <w:r>
        <w:rPr>
          <w:rFonts w:hint="eastAsia" w:ascii="宋体" w:hAnsi="宋体" w:eastAsia="宋体" w:cs="宋体"/>
          <w:color w:val="auto"/>
          <w:highlight w:val="none"/>
        </w:rPr>
        <w:t>营业利润。根据上述项目计算填报。</w:t>
      </w:r>
    </w:p>
    <w:p>
      <w:pPr>
        <w:pStyle w:val="11"/>
        <w:snapToGrid w:val="0"/>
        <w:spacing w:line="360" w:lineRule="auto"/>
        <w:textAlignment w:val="baseline"/>
        <w:rPr>
          <w:color w:val="auto"/>
          <w:highlight w:val="none"/>
        </w:rPr>
      </w:pPr>
      <w:r>
        <w:rPr>
          <w:rFonts w:hint="eastAsia"/>
          <w:color w:val="auto"/>
          <w:highlight w:val="none"/>
        </w:rPr>
        <w:t>1</w:t>
      </w:r>
      <w:r>
        <w:rPr>
          <w:rFonts w:hint="eastAsia"/>
          <w:color w:val="auto"/>
          <w:highlight w:val="none"/>
          <w:lang w:val="en-US" w:eastAsia="zh-CN"/>
        </w:rPr>
        <w:t>9</w:t>
      </w:r>
      <w:r>
        <w:rPr>
          <w:rFonts w:hint="eastAsia"/>
          <w:color w:val="auto"/>
          <w:highlight w:val="none"/>
        </w:rPr>
        <w:t>.第1</w:t>
      </w:r>
      <w:r>
        <w:rPr>
          <w:rFonts w:hint="eastAsia"/>
          <w:color w:val="auto"/>
          <w:highlight w:val="none"/>
          <w:lang w:val="en-US" w:eastAsia="zh-CN"/>
        </w:rPr>
        <w:t>6</w:t>
      </w:r>
      <w:r>
        <w:rPr>
          <w:rFonts w:hint="eastAsia"/>
          <w:color w:val="auto"/>
          <w:highlight w:val="none"/>
        </w:rPr>
        <w:t>行“营业外收入”：填报纳税人发生的除营业利润以外的</w:t>
      </w:r>
      <w:r>
        <w:rPr>
          <w:rFonts w:hint="eastAsia"/>
          <w:color w:val="auto"/>
          <w:highlight w:val="none"/>
          <w:lang w:eastAsia="zh-CN"/>
        </w:rPr>
        <w:t>累计</w:t>
      </w:r>
      <w:r>
        <w:rPr>
          <w:rFonts w:hint="eastAsia"/>
          <w:color w:val="auto"/>
          <w:highlight w:val="none"/>
        </w:rPr>
        <w:t>收益，主要包括与企业日常活动无关的政府补助、盘盈利得、捐赠利得（企业接受股东或股东的子公司直接或间接的捐赠，经济实质属于股东对企业的资本性投入的除外）等。</w:t>
      </w:r>
    </w:p>
    <w:p>
      <w:pPr>
        <w:pStyle w:val="11"/>
        <w:snapToGrid w:val="0"/>
        <w:spacing w:line="360" w:lineRule="auto"/>
        <w:textAlignment w:val="baseline"/>
        <w:rPr>
          <w:color w:val="auto"/>
          <w:highlight w:val="none"/>
        </w:rPr>
      </w:pPr>
      <w:r>
        <w:rPr>
          <w:rFonts w:hint="eastAsia"/>
          <w:color w:val="auto"/>
          <w:highlight w:val="none"/>
          <w:lang w:val="en-US" w:eastAsia="zh-CN"/>
        </w:rPr>
        <w:t>20</w:t>
      </w:r>
      <w:r>
        <w:rPr>
          <w:rFonts w:hint="eastAsia"/>
          <w:color w:val="auto"/>
          <w:highlight w:val="none"/>
        </w:rPr>
        <w:t>.第1</w:t>
      </w:r>
      <w:r>
        <w:rPr>
          <w:rFonts w:hint="eastAsia"/>
          <w:color w:val="auto"/>
          <w:highlight w:val="none"/>
          <w:lang w:val="en-US" w:eastAsia="zh-CN"/>
        </w:rPr>
        <w:t>7</w:t>
      </w:r>
      <w:r>
        <w:rPr>
          <w:rFonts w:hint="eastAsia"/>
          <w:color w:val="auto"/>
          <w:highlight w:val="none"/>
        </w:rPr>
        <w:t>行“营业外支出”：填报纳税人发生的除营业利润以外的</w:t>
      </w:r>
      <w:r>
        <w:rPr>
          <w:rFonts w:hint="eastAsia"/>
          <w:color w:val="auto"/>
          <w:highlight w:val="none"/>
          <w:lang w:eastAsia="zh-CN"/>
        </w:rPr>
        <w:t>累计</w:t>
      </w:r>
      <w:r>
        <w:rPr>
          <w:rFonts w:hint="eastAsia"/>
          <w:color w:val="auto"/>
          <w:highlight w:val="none"/>
        </w:rPr>
        <w:t>支出，主要包括公益性捐赠支出、非常损失、盘亏损失、非流动资产毁损报废损失等。纳税人在不同交易中形成的非流动资产毁损报废利得和损失不得相互抵销，应分别在“营业外收入”项目和“营业外支出”项目进行填列。</w:t>
      </w:r>
    </w:p>
    <w:p>
      <w:pPr>
        <w:pStyle w:val="11"/>
        <w:snapToGrid w:val="0"/>
        <w:spacing w:line="360" w:lineRule="auto"/>
        <w:textAlignment w:val="baseline"/>
        <w:rPr>
          <w:color w:val="auto"/>
          <w:highlight w:val="none"/>
        </w:rPr>
      </w:pPr>
      <w:r>
        <w:rPr>
          <w:rFonts w:hint="eastAsia"/>
          <w:color w:val="auto"/>
          <w:highlight w:val="none"/>
          <w:lang w:val="en-US" w:eastAsia="zh-CN"/>
        </w:rPr>
        <w:t>21</w:t>
      </w:r>
      <w:r>
        <w:rPr>
          <w:rFonts w:hint="eastAsia"/>
          <w:color w:val="auto"/>
          <w:highlight w:val="none"/>
        </w:rPr>
        <w:t>.第1</w:t>
      </w:r>
      <w:r>
        <w:rPr>
          <w:rFonts w:hint="eastAsia"/>
          <w:color w:val="auto"/>
          <w:highlight w:val="none"/>
          <w:lang w:val="en-US" w:eastAsia="zh-CN"/>
        </w:rPr>
        <w:t>8</w:t>
      </w:r>
      <w:r>
        <w:rPr>
          <w:rFonts w:hint="eastAsia"/>
          <w:color w:val="auto"/>
          <w:highlight w:val="none"/>
        </w:rPr>
        <w:t>行“利润总额”：填报纳税人按照国家统一会计制度规定核算的本年累计利润总额。根据上述项目计算填报。</w:t>
      </w:r>
    </w:p>
    <w:p>
      <w:pPr>
        <w:pStyle w:val="11"/>
        <w:spacing w:line="360" w:lineRule="auto"/>
        <w:rPr>
          <w:rFonts w:hint="eastAsia" w:eastAsia="宋体"/>
          <w:color w:val="auto"/>
          <w:highlight w:val="none"/>
          <w:lang w:eastAsia="zh-CN"/>
        </w:rPr>
      </w:pPr>
      <w:r>
        <w:rPr>
          <w:rFonts w:hint="eastAsia"/>
          <w:color w:val="auto"/>
          <w:highlight w:val="none"/>
          <w:lang w:val="en-US" w:eastAsia="zh-CN"/>
        </w:rPr>
        <w:t>22</w:t>
      </w:r>
      <w:r>
        <w:rPr>
          <w:color w:val="auto"/>
          <w:highlight w:val="none"/>
        </w:rPr>
        <w:t>.</w:t>
      </w:r>
      <w:r>
        <w:rPr>
          <w:rFonts w:hint="eastAsia"/>
          <w:color w:val="auto"/>
          <w:highlight w:val="none"/>
        </w:rPr>
        <w:t>第1</w:t>
      </w:r>
      <w:r>
        <w:rPr>
          <w:rFonts w:hint="eastAsia"/>
          <w:color w:val="auto"/>
          <w:highlight w:val="none"/>
          <w:lang w:val="en-US" w:eastAsia="zh-CN"/>
        </w:rPr>
        <w:t>9</w:t>
      </w:r>
      <w:r>
        <w:rPr>
          <w:rFonts w:hint="eastAsia"/>
          <w:color w:val="auto"/>
          <w:highlight w:val="none"/>
        </w:rPr>
        <w:t>行“特定业务计算的应纳税所得额”：</w:t>
      </w:r>
      <w:r>
        <w:rPr>
          <w:rFonts w:hint="eastAsia" w:ascii="宋体" w:hAnsi="宋体" w:eastAsia="宋体" w:cs="宋体"/>
          <w:color w:val="auto"/>
          <w:highlight w:val="none"/>
        </w:rPr>
        <w:t>填报</w:t>
      </w:r>
      <w:r>
        <w:rPr>
          <w:rFonts w:hint="eastAsia"/>
          <w:color w:val="auto"/>
          <w:highlight w:val="none"/>
        </w:rPr>
        <w:t>房地产开发企业销售未完工开发产品取得的预售收入，按照税收规定的预计计税毛利率计算出预计毛利额，扣除实际缴纳且在会计核算中未计入当期损益的土地增值税等税金及附加后的</w:t>
      </w:r>
      <w:r>
        <w:rPr>
          <w:rFonts w:hint="eastAsia"/>
          <w:color w:val="auto"/>
          <w:highlight w:val="none"/>
          <w:lang w:val="en-US" w:eastAsia="zh-CN"/>
        </w:rPr>
        <w:t>累计</w:t>
      </w:r>
      <w:r>
        <w:rPr>
          <w:rFonts w:hint="eastAsia"/>
          <w:color w:val="auto"/>
          <w:highlight w:val="none"/>
        </w:rPr>
        <w:t>金额</w:t>
      </w:r>
      <w:r>
        <w:rPr>
          <w:rFonts w:hint="eastAsia"/>
          <w:color w:val="auto"/>
          <w:highlight w:val="none"/>
          <w:lang w:eastAsia="zh-CN"/>
        </w:rPr>
        <w:t>。</w:t>
      </w:r>
    </w:p>
    <w:p>
      <w:pPr>
        <w:pStyle w:val="11"/>
        <w:spacing w:line="360" w:lineRule="auto"/>
        <w:rPr>
          <w:rFonts w:hint="default" w:eastAsia="宋体"/>
          <w:color w:val="auto"/>
          <w:highlight w:val="none"/>
          <w:lang w:val="en-US" w:eastAsia="zh-CN"/>
        </w:rPr>
      </w:pPr>
      <w:r>
        <w:rPr>
          <w:rFonts w:hint="eastAsia"/>
          <w:color w:val="auto"/>
          <w:highlight w:val="none"/>
          <w:lang w:val="en-US" w:eastAsia="zh-CN"/>
        </w:rPr>
        <w:t>23</w:t>
      </w:r>
      <w:r>
        <w:rPr>
          <w:rFonts w:hint="eastAsia"/>
          <w:color w:val="auto"/>
          <w:highlight w:val="none"/>
        </w:rPr>
        <w:t>.第1</w:t>
      </w:r>
      <w:r>
        <w:rPr>
          <w:rFonts w:hint="eastAsia"/>
          <w:color w:val="auto"/>
          <w:highlight w:val="none"/>
          <w:lang w:val="en-US" w:eastAsia="zh-CN"/>
        </w:rPr>
        <w:t>9</w:t>
      </w:r>
      <w:r>
        <w:rPr>
          <w:rFonts w:hint="eastAsia"/>
          <w:color w:val="auto"/>
          <w:highlight w:val="none"/>
        </w:rPr>
        <w:t>.1行“销售未完工产品的收入”：</w:t>
      </w:r>
      <w:r>
        <w:rPr>
          <w:rFonts w:hint="eastAsia" w:ascii="宋体" w:hAnsi="宋体" w:eastAsia="宋体" w:cs="宋体"/>
          <w:color w:val="auto"/>
          <w:highlight w:val="none"/>
        </w:rPr>
        <w:t>填报</w:t>
      </w:r>
      <w:r>
        <w:rPr>
          <w:rFonts w:hint="eastAsia"/>
          <w:color w:val="auto"/>
          <w:highlight w:val="none"/>
        </w:rPr>
        <w:t>房地产</w:t>
      </w:r>
      <w:r>
        <w:rPr>
          <w:rFonts w:hint="eastAsia"/>
          <w:color w:val="auto"/>
          <w:highlight w:val="none"/>
          <w:lang w:eastAsia="zh-CN"/>
        </w:rPr>
        <w:t>开发</w:t>
      </w:r>
      <w:r>
        <w:rPr>
          <w:rFonts w:hint="eastAsia"/>
          <w:color w:val="auto"/>
          <w:highlight w:val="none"/>
        </w:rPr>
        <w:t>企业</w:t>
      </w:r>
      <w:r>
        <w:rPr>
          <w:rFonts w:hint="eastAsia"/>
          <w:color w:val="auto"/>
          <w:highlight w:val="none"/>
          <w:lang w:val="en-US" w:eastAsia="zh-CN"/>
        </w:rPr>
        <w:t>按照</w:t>
      </w:r>
      <w:r>
        <w:rPr>
          <w:rFonts w:hint="eastAsia"/>
          <w:color w:val="auto"/>
          <w:highlight w:val="none"/>
        </w:rPr>
        <w:t>税收规定</w:t>
      </w:r>
      <w:r>
        <w:rPr>
          <w:rFonts w:hint="eastAsia"/>
          <w:color w:val="auto"/>
          <w:highlight w:val="none"/>
          <w:lang w:val="en-US" w:eastAsia="zh-CN"/>
        </w:rPr>
        <w:t>计算</w:t>
      </w:r>
      <w:r>
        <w:rPr>
          <w:rFonts w:hint="eastAsia"/>
          <w:color w:val="auto"/>
          <w:highlight w:val="none"/>
        </w:rPr>
        <w:t>预计毛利额</w:t>
      </w:r>
      <w:r>
        <w:rPr>
          <w:rFonts w:hint="eastAsia"/>
          <w:color w:val="auto"/>
          <w:highlight w:val="none"/>
          <w:lang w:val="en-US" w:eastAsia="zh-CN"/>
        </w:rPr>
        <w:t>的</w:t>
      </w:r>
      <w:r>
        <w:rPr>
          <w:rFonts w:hint="eastAsia"/>
          <w:color w:val="auto"/>
          <w:highlight w:val="none"/>
        </w:rPr>
        <w:t>销售未完工开发产品取得的预售收入</w:t>
      </w:r>
      <w:r>
        <w:rPr>
          <w:rFonts w:hint="eastAsia"/>
          <w:color w:val="auto"/>
          <w:highlight w:val="none"/>
          <w:lang w:val="en-US" w:eastAsia="zh-CN"/>
        </w:rPr>
        <w:t>的累计金额。</w:t>
      </w:r>
    </w:p>
    <w:p>
      <w:pPr>
        <w:pStyle w:val="11"/>
        <w:snapToGrid w:val="0"/>
        <w:spacing w:line="360" w:lineRule="auto"/>
        <w:textAlignment w:val="baseline"/>
        <w:rPr>
          <w:rFonts w:hint="eastAsia"/>
          <w:color w:val="auto"/>
          <w:highlight w:val="none"/>
        </w:rPr>
      </w:pPr>
      <w:r>
        <w:rPr>
          <w:rFonts w:hint="eastAsia"/>
          <w:color w:val="auto"/>
          <w:highlight w:val="none"/>
          <w:lang w:val="en-US" w:eastAsia="zh-CN"/>
        </w:rPr>
        <w:t>24</w:t>
      </w:r>
      <w:r>
        <w:rPr>
          <w:color w:val="auto"/>
          <w:highlight w:val="none"/>
        </w:rPr>
        <w:t>.</w:t>
      </w:r>
      <w:r>
        <w:rPr>
          <w:rFonts w:hint="eastAsia"/>
          <w:color w:val="auto"/>
          <w:highlight w:val="none"/>
        </w:rPr>
        <w:t>第</w:t>
      </w:r>
      <w:r>
        <w:rPr>
          <w:rFonts w:hint="eastAsia"/>
          <w:color w:val="auto"/>
          <w:highlight w:val="none"/>
          <w:lang w:val="en-US" w:eastAsia="zh-CN"/>
        </w:rPr>
        <w:t>20</w:t>
      </w:r>
      <w:r>
        <w:rPr>
          <w:rFonts w:hint="eastAsia"/>
          <w:color w:val="auto"/>
          <w:highlight w:val="none"/>
        </w:rPr>
        <w:t>行“不征税收入”：</w:t>
      </w:r>
      <w:r>
        <w:rPr>
          <w:rFonts w:hint="eastAsia" w:ascii="宋体" w:hAnsi="宋体" w:eastAsia="宋体" w:cs="宋体"/>
          <w:color w:val="auto"/>
          <w:highlight w:val="none"/>
        </w:rPr>
        <w:t>填报纳税人</w:t>
      </w:r>
      <w:r>
        <w:rPr>
          <w:rFonts w:hint="eastAsia"/>
          <w:color w:val="auto"/>
          <w:highlight w:val="none"/>
        </w:rPr>
        <w:t>已经计入本表“利润总额”行次但税收规定为不征税收入的累计金额。</w:t>
      </w:r>
    </w:p>
    <w:p>
      <w:pPr>
        <w:pStyle w:val="11"/>
        <w:snapToGrid w:val="0"/>
        <w:spacing w:line="360" w:lineRule="auto"/>
        <w:textAlignment w:val="baseline"/>
        <w:rPr>
          <w:rFonts w:hint="eastAsia"/>
          <w:color w:val="auto"/>
          <w:highlight w:val="none"/>
        </w:rPr>
      </w:pPr>
      <w:r>
        <w:rPr>
          <w:rFonts w:hint="eastAsia"/>
          <w:color w:val="auto"/>
          <w:highlight w:val="none"/>
          <w:lang w:val="en-US" w:eastAsia="zh-CN"/>
        </w:rPr>
        <w:t>25</w:t>
      </w:r>
      <w:r>
        <w:rPr>
          <w:color w:val="auto"/>
          <w:highlight w:val="none"/>
        </w:rPr>
        <w:t>.</w:t>
      </w:r>
      <w:r>
        <w:rPr>
          <w:rFonts w:hint="eastAsia"/>
          <w:color w:val="auto"/>
          <w:highlight w:val="none"/>
        </w:rPr>
        <w:t>第</w:t>
      </w:r>
      <w:r>
        <w:rPr>
          <w:rFonts w:hint="eastAsia"/>
          <w:color w:val="auto"/>
          <w:highlight w:val="none"/>
          <w:lang w:val="en-US" w:eastAsia="zh-CN"/>
        </w:rPr>
        <w:t>21</w:t>
      </w:r>
      <w:r>
        <w:rPr>
          <w:rFonts w:hint="eastAsia"/>
          <w:color w:val="auto"/>
          <w:highlight w:val="none"/>
        </w:rPr>
        <w:t>行“资产加速折旧、摊销（扣除）调减额”：</w:t>
      </w:r>
      <w:r>
        <w:rPr>
          <w:rFonts w:hint="eastAsia" w:ascii="宋体" w:hAnsi="宋体" w:eastAsia="宋体" w:cs="宋体"/>
          <w:color w:val="auto"/>
          <w:highlight w:val="none"/>
        </w:rPr>
        <w:t>填报纳税人</w:t>
      </w:r>
      <w:r>
        <w:rPr>
          <w:rFonts w:hint="eastAsia"/>
          <w:color w:val="auto"/>
          <w:kern w:val="0"/>
          <w:highlight w:val="none"/>
        </w:rPr>
        <w:t>资产税收上享受加速折旧、摊销优惠政策计算的折旧额、摊销额大于同期会计折旧额、摊销额期间发生纳税调减的累计金额。</w:t>
      </w:r>
      <w:r>
        <w:rPr>
          <w:rFonts w:hint="eastAsia"/>
          <w:color w:val="auto"/>
          <w:highlight w:val="none"/>
        </w:rPr>
        <w:t>同时在</w:t>
      </w:r>
      <w:r>
        <w:rPr>
          <w:rFonts w:hint="eastAsia"/>
          <w:color w:val="auto"/>
          <w:kern w:val="0"/>
          <w:highlight w:val="none"/>
        </w:rPr>
        <w:t>《资产加速折旧、摊销</w:t>
      </w:r>
      <w:r>
        <w:rPr>
          <w:color w:val="auto"/>
          <w:kern w:val="0"/>
          <w:highlight w:val="none"/>
        </w:rPr>
        <w:t>(</w:t>
      </w:r>
      <w:r>
        <w:rPr>
          <w:rFonts w:hint="eastAsia"/>
          <w:color w:val="auto"/>
          <w:kern w:val="0"/>
          <w:highlight w:val="none"/>
        </w:rPr>
        <w:t>扣除</w:t>
      </w:r>
      <w:r>
        <w:rPr>
          <w:color w:val="auto"/>
          <w:kern w:val="0"/>
          <w:highlight w:val="none"/>
        </w:rPr>
        <w:t>)</w:t>
      </w:r>
      <w:r>
        <w:rPr>
          <w:rFonts w:hint="eastAsia"/>
          <w:color w:val="auto"/>
          <w:kern w:val="0"/>
          <w:highlight w:val="none"/>
        </w:rPr>
        <w:t>优惠明细表》（</w:t>
      </w:r>
      <w:r>
        <w:rPr>
          <w:color w:val="auto"/>
          <w:kern w:val="0"/>
          <w:highlight w:val="none"/>
        </w:rPr>
        <w:t>A201020</w:t>
      </w:r>
      <w:r>
        <w:rPr>
          <w:rFonts w:hint="eastAsia"/>
          <w:color w:val="auto"/>
          <w:kern w:val="0"/>
          <w:highlight w:val="none"/>
        </w:rPr>
        <w:t>）</w:t>
      </w:r>
      <w:r>
        <w:rPr>
          <w:rFonts w:hint="eastAsia"/>
          <w:color w:val="auto"/>
          <w:highlight w:val="none"/>
        </w:rPr>
        <w:t>中填报具体情况。</w:t>
      </w:r>
    </w:p>
    <w:p>
      <w:pPr>
        <w:pStyle w:val="11"/>
        <w:snapToGrid w:val="0"/>
        <w:spacing w:line="360" w:lineRule="auto"/>
        <w:textAlignment w:val="baseline"/>
        <w:rPr>
          <w:color w:val="auto"/>
          <w:highlight w:val="none"/>
        </w:rPr>
      </w:pPr>
      <w:r>
        <w:rPr>
          <w:rFonts w:hint="eastAsia"/>
          <w:color w:val="auto"/>
          <w:highlight w:val="none"/>
        </w:rPr>
        <w:t>2</w:t>
      </w:r>
      <w:r>
        <w:rPr>
          <w:rFonts w:hint="eastAsia"/>
          <w:color w:val="auto"/>
          <w:highlight w:val="none"/>
          <w:lang w:val="en-US" w:eastAsia="zh-CN"/>
        </w:rPr>
        <w:t>6</w:t>
      </w:r>
      <w:r>
        <w:rPr>
          <w:rFonts w:hint="eastAsia"/>
          <w:color w:val="auto"/>
          <w:highlight w:val="none"/>
        </w:rPr>
        <w:t>.第</w:t>
      </w:r>
      <w:r>
        <w:rPr>
          <w:rFonts w:hint="eastAsia"/>
          <w:color w:val="auto"/>
          <w:highlight w:val="none"/>
          <w:lang w:val="en-US" w:eastAsia="zh-CN"/>
        </w:rPr>
        <w:t>22</w:t>
      </w:r>
      <w:r>
        <w:rPr>
          <w:rFonts w:hint="eastAsia"/>
          <w:color w:val="auto"/>
          <w:highlight w:val="none"/>
        </w:rPr>
        <w:t>行“免税收入、减计收入、加计扣除”：根据相关行次计算结果填报。根据《企业所得税申报事项目录》，在第</w:t>
      </w:r>
      <w:r>
        <w:rPr>
          <w:rFonts w:hint="eastAsia"/>
          <w:color w:val="auto"/>
          <w:highlight w:val="none"/>
          <w:lang w:val="en-US" w:eastAsia="zh-CN"/>
        </w:rPr>
        <w:t>22</w:t>
      </w:r>
      <w:r>
        <w:rPr>
          <w:rFonts w:hint="eastAsia"/>
          <w:color w:val="auto"/>
          <w:highlight w:val="none"/>
        </w:rPr>
        <w:t>.1行、</w:t>
      </w:r>
      <w:r>
        <w:rPr>
          <w:rFonts w:hint="eastAsia"/>
          <w:color w:val="auto"/>
          <w:highlight w:val="none"/>
          <w:lang w:val="en-US" w:eastAsia="zh-CN"/>
        </w:rPr>
        <w:t>22</w:t>
      </w:r>
      <w:r>
        <w:rPr>
          <w:rFonts w:hint="eastAsia"/>
          <w:color w:val="auto"/>
          <w:highlight w:val="none"/>
        </w:rPr>
        <w:t>.2行……填报税收规定的免税收入、减计收入、加计扣除等优惠事项的具体名称和本年累计金额。发生多项且根据税收规定可以同时享受的优惠事项，可以增加行次，但每个事项仅能填报一次。</w:t>
      </w:r>
    </w:p>
    <w:p>
      <w:pPr>
        <w:pStyle w:val="11"/>
        <w:snapToGrid w:val="0"/>
        <w:spacing w:line="360" w:lineRule="auto"/>
        <w:textAlignment w:val="baseline"/>
        <w:rPr>
          <w:rFonts w:hint="eastAsia"/>
          <w:color w:val="auto"/>
          <w:highlight w:val="none"/>
        </w:rPr>
      </w:pPr>
      <w:r>
        <w:rPr>
          <w:rFonts w:hint="eastAsia"/>
          <w:color w:val="auto"/>
          <w:highlight w:val="none"/>
        </w:rPr>
        <w:t>2</w:t>
      </w:r>
      <w:r>
        <w:rPr>
          <w:rFonts w:hint="eastAsia"/>
          <w:color w:val="auto"/>
          <w:highlight w:val="none"/>
          <w:lang w:val="en-US" w:eastAsia="zh-CN"/>
        </w:rPr>
        <w:t>7</w:t>
      </w:r>
      <w:r>
        <w:rPr>
          <w:color w:val="auto"/>
          <w:highlight w:val="none"/>
        </w:rPr>
        <w:t>.</w:t>
      </w:r>
      <w:r>
        <w:rPr>
          <w:rFonts w:hint="eastAsia"/>
          <w:color w:val="auto"/>
          <w:highlight w:val="none"/>
        </w:rPr>
        <w:t>第</w:t>
      </w:r>
      <w:r>
        <w:rPr>
          <w:rFonts w:hint="eastAsia"/>
          <w:color w:val="auto"/>
          <w:highlight w:val="none"/>
          <w:lang w:val="en-US" w:eastAsia="zh-CN"/>
        </w:rPr>
        <w:t>23</w:t>
      </w:r>
      <w:r>
        <w:rPr>
          <w:rFonts w:hint="eastAsia"/>
          <w:color w:val="auto"/>
          <w:highlight w:val="none"/>
        </w:rPr>
        <w:t>行“所得减免”：根据相关行次计算结果填报。第1</w:t>
      </w:r>
      <w:r>
        <w:rPr>
          <w:rFonts w:hint="eastAsia"/>
          <w:color w:val="auto"/>
          <w:highlight w:val="none"/>
          <w:lang w:val="en-US" w:eastAsia="zh-CN"/>
        </w:rPr>
        <w:t>8</w:t>
      </w:r>
      <w:r>
        <w:rPr>
          <w:rFonts w:hint="eastAsia"/>
          <w:color w:val="auto"/>
          <w:highlight w:val="none"/>
        </w:rPr>
        <w:t>+1</w:t>
      </w:r>
      <w:r>
        <w:rPr>
          <w:rFonts w:hint="eastAsia"/>
          <w:color w:val="auto"/>
          <w:highlight w:val="none"/>
          <w:lang w:val="en-US" w:eastAsia="zh-CN"/>
        </w:rPr>
        <w:t>9</w:t>
      </w:r>
      <w:r>
        <w:rPr>
          <w:rFonts w:hint="eastAsia"/>
          <w:color w:val="auto"/>
          <w:highlight w:val="none"/>
        </w:rPr>
        <w:t>-</w:t>
      </w: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21</w:t>
      </w:r>
      <w:r>
        <w:rPr>
          <w:rFonts w:hint="eastAsia"/>
          <w:color w:val="auto"/>
          <w:highlight w:val="none"/>
        </w:rPr>
        <w:t>-</w:t>
      </w:r>
      <w:r>
        <w:rPr>
          <w:rFonts w:hint="eastAsia"/>
          <w:color w:val="auto"/>
          <w:highlight w:val="none"/>
          <w:lang w:val="en-US" w:eastAsia="zh-CN"/>
        </w:rPr>
        <w:t>22</w:t>
      </w:r>
      <w:r>
        <w:rPr>
          <w:rFonts w:hint="eastAsia"/>
          <w:color w:val="auto"/>
          <w:highlight w:val="none"/>
        </w:rPr>
        <w:t>行≤0时，本行不填报。</w:t>
      </w:r>
    </w:p>
    <w:p>
      <w:pPr>
        <w:pStyle w:val="11"/>
        <w:snapToGrid w:val="0"/>
        <w:spacing w:line="360" w:lineRule="auto"/>
        <w:textAlignment w:val="baseline"/>
        <w:rPr>
          <w:rFonts w:hint="eastAsia"/>
          <w:color w:val="auto"/>
          <w:highlight w:val="none"/>
        </w:rPr>
      </w:pPr>
      <w:r>
        <w:rPr>
          <w:rFonts w:hint="eastAsia"/>
          <w:color w:val="auto"/>
          <w:highlight w:val="none"/>
        </w:rPr>
        <w:t>根据《企业所得税申报事项目录》，在第</w:t>
      </w:r>
      <w:r>
        <w:rPr>
          <w:rFonts w:hint="eastAsia"/>
          <w:color w:val="auto"/>
          <w:highlight w:val="none"/>
          <w:lang w:val="en-US" w:eastAsia="zh-CN"/>
        </w:rPr>
        <w:t>23</w:t>
      </w:r>
      <w:r>
        <w:rPr>
          <w:rFonts w:hint="eastAsia"/>
          <w:color w:val="auto"/>
          <w:highlight w:val="none"/>
        </w:rPr>
        <w:t>.1行、</w:t>
      </w:r>
      <w:r>
        <w:rPr>
          <w:rFonts w:hint="eastAsia"/>
          <w:color w:val="auto"/>
          <w:highlight w:val="none"/>
          <w:lang w:val="en-US" w:eastAsia="zh-CN"/>
        </w:rPr>
        <w:t>23</w:t>
      </w:r>
      <w:r>
        <w:rPr>
          <w:rFonts w:hint="eastAsia"/>
          <w:color w:val="auto"/>
          <w:highlight w:val="none"/>
        </w:rPr>
        <w:t>.2行……填报税收规定的所得减免优惠事项的名称和本年累计金额。发生多项且根据税收规定可以同时享受的优惠事项，可以增加行次，但每个事项仅能填报一次。每项优惠事项下有多个具体项目的，应分别确定各具体项目所得，并填写盈利项目（项目所得</w:t>
      </w:r>
      <w:r>
        <w:rPr>
          <w:rFonts w:hint="eastAsia"/>
          <w:color w:val="auto"/>
          <w:highlight w:val="none"/>
          <w:lang w:eastAsia="zh-CN"/>
        </w:rPr>
        <w:t>＞</w:t>
      </w:r>
      <w:r>
        <w:rPr>
          <w:rFonts w:hint="eastAsia"/>
          <w:color w:val="auto"/>
          <w:highlight w:val="none"/>
        </w:rPr>
        <w:t>0）的减征、免征所得额的合计金额。</w:t>
      </w:r>
    </w:p>
    <w:p>
      <w:pPr>
        <w:pStyle w:val="11"/>
        <w:snapToGrid w:val="0"/>
        <w:spacing w:line="360" w:lineRule="auto"/>
        <w:textAlignment w:val="baseline"/>
        <w:rPr>
          <w:rFonts w:cs="Times New Roman"/>
          <w:color w:val="auto"/>
          <w:highlight w:val="none"/>
        </w:rPr>
      </w:pPr>
      <w:r>
        <w:rPr>
          <w:rFonts w:hint="eastAsia"/>
          <w:color w:val="auto"/>
          <w:highlight w:val="none"/>
        </w:rPr>
        <w:t>2</w:t>
      </w:r>
      <w:r>
        <w:rPr>
          <w:rFonts w:hint="eastAsia"/>
          <w:color w:val="auto"/>
          <w:highlight w:val="none"/>
          <w:lang w:val="en-US" w:eastAsia="zh-CN"/>
        </w:rPr>
        <w:t>8</w:t>
      </w:r>
      <w:r>
        <w:rPr>
          <w:color w:val="auto"/>
          <w:highlight w:val="none"/>
        </w:rPr>
        <w:t>.</w:t>
      </w:r>
      <w:r>
        <w:rPr>
          <w:rFonts w:hint="eastAsia"/>
          <w:color w:val="auto"/>
          <w:highlight w:val="none"/>
        </w:rPr>
        <w:t>第2</w:t>
      </w:r>
      <w:r>
        <w:rPr>
          <w:rFonts w:hint="eastAsia"/>
          <w:color w:val="auto"/>
          <w:highlight w:val="none"/>
          <w:lang w:val="en-US" w:eastAsia="zh-CN"/>
        </w:rPr>
        <w:t>4</w:t>
      </w:r>
      <w:r>
        <w:rPr>
          <w:rFonts w:hint="eastAsia"/>
          <w:color w:val="auto"/>
          <w:highlight w:val="none"/>
        </w:rPr>
        <w:t>行“弥补以前年度亏损”：填报纳税人按照税收规定在企业所得税税前弥补的以前年度尚未弥补亏损的本年累计金额。</w:t>
      </w:r>
    </w:p>
    <w:p>
      <w:pPr>
        <w:pStyle w:val="11"/>
        <w:snapToGrid w:val="0"/>
        <w:spacing w:line="360" w:lineRule="auto"/>
        <w:textAlignment w:val="baseline"/>
        <w:rPr>
          <w:rFonts w:cs="Times New Roman"/>
          <w:color w:val="auto"/>
          <w:highlight w:val="none"/>
        </w:rPr>
      </w:pPr>
      <w:r>
        <w:rPr>
          <w:rFonts w:hint="eastAsia"/>
          <w:color w:val="auto"/>
          <w:highlight w:val="none"/>
        </w:rPr>
        <w:t>当本表第1</w:t>
      </w:r>
      <w:r>
        <w:rPr>
          <w:rFonts w:hint="eastAsia"/>
          <w:color w:val="auto"/>
          <w:highlight w:val="none"/>
          <w:lang w:val="en-US" w:eastAsia="zh-CN"/>
        </w:rPr>
        <w:t>8</w:t>
      </w:r>
      <w:r>
        <w:rPr>
          <w:color w:val="auto"/>
          <w:highlight w:val="none"/>
        </w:rPr>
        <w:t>+</w:t>
      </w:r>
      <w:r>
        <w:rPr>
          <w:rFonts w:hint="eastAsia"/>
          <w:color w:val="auto"/>
          <w:highlight w:val="none"/>
        </w:rPr>
        <w:t>1</w:t>
      </w:r>
      <w:r>
        <w:rPr>
          <w:rFonts w:hint="eastAsia"/>
          <w:color w:val="auto"/>
          <w:highlight w:val="none"/>
          <w:lang w:val="en-US" w:eastAsia="zh-CN"/>
        </w:rPr>
        <w:t>9</w:t>
      </w:r>
      <w:r>
        <w:rPr>
          <w:color w:val="auto"/>
          <w:highlight w:val="none"/>
        </w:rPr>
        <w:t>-</w:t>
      </w:r>
      <w:r>
        <w:rPr>
          <w:rFonts w:hint="eastAsia"/>
          <w:color w:val="auto"/>
          <w:highlight w:val="none"/>
          <w:lang w:val="en-US" w:eastAsia="zh-CN"/>
        </w:rPr>
        <w:t>20</w:t>
      </w:r>
      <w:r>
        <w:rPr>
          <w:color w:val="auto"/>
          <w:highlight w:val="none"/>
        </w:rPr>
        <w:t>-</w:t>
      </w:r>
      <w:r>
        <w:rPr>
          <w:rFonts w:hint="eastAsia"/>
          <w:color w:val="auto"/>
          <w:highlight w:val="none"/>
          <w:lang w:val="en-US" w:eastAsia="zh-CN"/>
        </w:rPr>
        <w:t>21</w:t>
      </w:r>
      <w:r>
        <w:rPr>
          <w:color w:val="auto"/>
          <w:highlight w:val="none"/>
        </w:rPr>
        <w:t>-</w:t>
      </w:r>
      <w:r>
        <w:rPr>
          <w:rFonts w:hint="eastAsia"/>
          <w:color w:val="auto"/>
          <w:highlight w:val="none"/>
          <w:lang w:val="en-US" w:eastAsia="zh-CN"/>
        </w:rPr>
        <w:t>22</w:t>
      </w:r>
      <w:r>
        <w:rPr>
          <w:rFonts w:hint="eastAsia"/>
          <w:color w:val="auto"/>
          <w:highlight w:val="none"/>
        </w:rPr>
        <w:t>-</w:t>
      </w:r>
      <w:r>
        <w:rPr>
          <w:rFonts w:hint="eastAsia"/>
          <w:color w:val="auto"/>
          <w:highlight w:val="none"/>
          <w:lang w:val="en-US" w:eastAsia="zh-CN"/>
        </w:rPr>
        <w:t>23</w:t>
      </w:r>
      <w:r>
        <w:rPr>
          <w:rFonts w:hint="eastAsia"/>
          <w:color w:val="auto"/>
          <w:highlight w:val="none"/>
        </w:rPr>
        <w:t>行≤</w:t>
      </w:r>
      <w:r>
        <w:rPr>
          <w:color w:val="auto"/>
          <w:highlight w:val="none"/>
        </w:rPr>
        <w:t>0</w:t>
      </w:r>
      <w:r>
        <w:rPr>
          <w:rFonts w:hint="eastAsia"/>
          <w:color w:val="auto"/>
          <w:highlight w:val="none"/>
        </w:rPr>
        <w:t>时，本行＝</w:t>
      </w:r>
      <w:r>
        <w:rPr>
          <w:color w:val="auto"/>
          <w:highlight w:val="none"/>
        </w:rPr>
        <w:t>0</w:t>
      </w:r>
      <w:r>
        <w:rPr>
          <w:rFonts w:hint="eastAsia"/>
          <w:color w:val="auto"/>
          <w:highlight w:val="none"/>
        </w:rPr>
        <w:t>。</w:t>
      </w:r>
    </w:p>
    <w:p>
      <w:pPr>
        <w:pStyle w:val="11"/>
        <w:snapToGrid w:val="0"/>
        <w:spacing w:line="360" w:lineRule="auto"/>
        <w:textAlignment w:val="baseline"/>
        <w:rPr>
          <w:rFonts w:cs="Times New Roman"/>
          <w:color w:val="auto"/>
          <w:highlight w:val="none"/>
        </w:rPr>
      </w:pPr>
      <w:r>
        <w:rPr>
          <w:rFonts w:hint="eastAsia"/>
          <w:color w:val="auto"/>
          <w:highlight w:val="none"/>
          <w:lang w:val="en-US" w:eastAsia="zh-CN"/>
        </w:rPr>
        <w:t>29</w:t>
      </w:r>
      <w:r>
        <w:rPr>
          <w:color w:val="auto"/>
          <w:highlight w:val="none"/>
        </w:rPr>
        <w:t>.</w:t>
      </w:r>
      <w:r>
        <w:rPr>
          <w:rFonts w:hint="eastAsia"/>
          <w:color w:val="auto"/>
          <w:highlight w:val="none"/>
        </w:rPr>
        <w:t>第2</w:t>
      </w:r>
      <w:r>
        <w:rPr>
          <w:rFonts w:hint="eastAsia"/>
          <w:color w:val="auto"/>
          <w:highlight w:val="none"/>
          <w:lang w:val="en-US" w:eastAsia="zh-CN"/>
        </w:rPr>
        <w:t>5</w:t>
      </w:r>
      <w:r>
        <w:rPr>
          <w:rFonts w:hint="eastAsia"/>
          <w:color w:val="auto"/>
          <w:highlight w:val="none"/>
        </w:rPr>
        <w:t>行“实际利润额</w:t>
      </w:r>
      <w:r>
        <w:rPr>
          <w:color w:val="auto"/>
          <w:highlight w:val="none"/>
        </w:rPr>
        <w:t xml:space="preserve"> \ </w:t>
      </w:r>
      <w:r>
        <w:rPr>
          <w:rFonts w:hint="eastAsia"/>
          <w:color w:val="auto"/>
          <w:highlight w:val="none"/>
        </w:rPr>
        <w:t>按照上一纳税年度应纳税所得额平均额确定的应纳税所得额”：预缴方式为“按照实际利润额预缴”的纳税人，根据本表相关行次计算结果填报，第2</w:t>
      </w:r>
      <w:r>
        <w:rPr>
          <w:rFonts w:hint="eastAsia"/>
          <w:color w:val="auto"/>
          <w:highlight w:val="none"/>
          <w:lang w:val="en-US" w:eastAsia="zh-CN"/>
        </w:rPr>
        <w:t>5</w:t>
      </w:r>
      <w:r>
        <w:rPr>
          <w:rFonts w:hint="eastAsia"/>
          <w:color w:val="auto"/>
          <w:highlight w:val="none"/>
        </w:rPr>
        <w:t>行＝第1</w:t>
      </w:r>
      <w:r>
        <w:rPr>
          <w:rFonts w:hint="eastAsia"/>
          <w:color w:val="auto"/>
          <w:highlight w:val="none"/>
          <w:lang w:val="en-US" w:eastAsia="zh-CN"/>
        </w:rPr>
        <w:t>8</w:t>
      </w:r>
      <w:r>
        <w:rPr>
          <w:color w:val="auto"/>
          <w:highlight w:val="none"/>
        </w:rPr>
        <w:t>+</w:t>
      </w:r>
      <w:r>
        <w:rPr>
          <w:rFonts w:hint="eastAsia"/>
          <w:color w:val="auto"/>
          <w:highlight w:val="none"/>
        </w:rPr>
        <w:t>1</w:t>
      </w:r>
      <w:r>
        <w:rPr>
          <w:rFonts w:hint="eastAsia"/>
          <w:color w:val="auto"/>
          <w:highlight w:val="none"/>
          <w:lang w:val="en-US" w:eastAsia="zh-CN"/>
        </w:rPr>
        <w:t>9</w:t>
      </w:r>
      <w:r>
        <w:rPr>
          <w:color w:val="auto"/>
          <w:highlight w:val="none"/>
        </w:rPr>
        <w:t>-</w:t>
      </w:r>
      <w:r>
        <w:rPr>
          <w:rFonts w:hint="eastAsia"/>
          <w:color w:val="auto"/>
          <w:highlight w:val="none"/>
          <w:lang w:val="en-US" w:eastAsia="zh-CN"/>
        </w:rPr>
        <w:t>20</w:t>
      </w:r>
      <w:r>
        <w:rPr>
          <w:color w:val="auto"/>
          <w:highlight w:val="none"/>
        </w:rPr>
        <w:t>-</w:t>
      </w:r>
      <w:r>
        <w:rPr>
          <w:rFonts w:hint="eastAsia"/>
          <w:color w:val="auto"/>
          <w:highlight w:val="none"/>
          <w:lang w:val="en-US" w:eastAsia="zh-CN"/>
        </w:rPr>
        <w:t>21</w:t>
      </w:r>
      <w:r>
        <w:rPr>
          <w:color w:val="auto"/>
          <w:highlight w:val="none"/>
        </w:rPr>
        <w:t>-</w:t>
      </w:r>
      <w:r>
        <w:rPr>
          <w:rFonts w:hint="eastAsia"/>
          <w:color w:val="auto"/>
          <w:highlight w:val="none"/>
          <w:lang w:val="en-US" w:eastAsia="zh-CN"/>
        </w:rPr>
        <w:t>22</w:t>
      </w:r>
      <w:r>
        <w:rPr>
          <w:rFonts w:hint="eastAsia"/>
          <w:color w:val="auto"/>
          <w:highlight w:val="none"/>
        </w:rPr>
        <w:t>-</w:t>
      </w:r>
      <w:r>
        <w:rPr>
          <w:rFonts w:hint="eastAsia"/>
          <w:color w:val="auto"/>
          <w:highlight w:val="none"/>
          <w:lang w:val="en-US" w:eastAsia="zh-CN"/>
        </w:rPr>
        <w:t>23</w:t>
      </w:r>
      <w:r>
        <w:rPr>
          <w:rFonts w:hint="eastAsia"/>
          <w:color w:val="auto"/>
          <w:highlight w:val="none"/>
        </w:rPr>
        <w:t>-</w:t>
      </w:r>
      <w:r>
        <w:rPr>
          <w:rFonts w:hint="eastAsia"/>
          <w:color w:val="auto"/>
          <w:highlight w:val="none"/>
          <w:lang w:val="en-US" w:eastAsia="zh-CN"/>
        </w:rPr>
        <w:t>24</w:t>
      </w:r>
      <w:r>
        <w:rPr>
          <w:rFonts w:hint="eastAsia"/>
          <w:color w:val="auto"/>
          <w:highlight w:val="none"/>
        </w:rPr>
        <w:t>行；预缴方式为“按照上一纳税年度应纳税所得额平均额预缴”的纳税人，填报按照上一纳税年度应纳税所得额平均额计算的本年累计金额。</w:t>
      </w:r>
    </w:p>
    <w:p>
      <w:pPr>
        <w:pStyle w:val="11"/>
        <w:snapToGrid w:val="0"/>
        <w:spacing w:line="360" w:lineRule="auto"/>
        <w:textAlignment w:val="baseline"/>
        <w:rPr>
          <w:rFonts w:cs="Times New Roman"/>
          <w:color w:val="auto"/>
          <w:highlight w:val="none"/>
        </w:rPr>
      </w:pPr>
      <w:r>
        <w:rPr>
          <w:rFonts w:hint="eastAsia"/>
          <w:color w:val="auto"/>
          <w:highlight w:val="none"/>
          <w:lang w:val="en-US" w:eastAsia="zh-CN"/>
        </w:rPr>
        <w:t>30</w:t>
      </w:r>
      <w:r>
        <w:rPr>
          <w:color w:val="auto"/>
          <w:highlight w:val="none"/>
        </w:rPr>
        <w:t>.</w:t>
      </w:r>
      <w:r>
        <w:rPr>
          <w:rFonts w:hint="eastAsia"/>
          <w:color w:val="auto"/>
          <w:highlight w:val="none"/>
        </w:rPr>
        <w:t>第2</w:t>
      </w:r>
      <w:r>
        <w:rPr>
          <w:rFonts w:hint="eastAsia"/>
          <w:color w:val="auto"/>
          <w:highlight w:val="none"/>
          <w:lang w:val="en-US" w:eastAsia="zh-CN"/>
        </w:rPr>
        <w:t>6</w:t>
      </w:r>
      <w:r>
        <w:rPr>
          <w:rFonts w:hint="eastAsia"/>
          <w:color w:val="auto"/>
          <w:highlight w:val="none"/>
        </w:rPr>
        <w:t>行“税率（</w:t>
      </w:r>
      <w:r>
        <w:rPr>
          <w:color w:val="auto"/>
          <w:highlight w:val="none"/>
        </w:rPr>
        <w:t>25%</w:t>
      </w:r>
      <w:r>
        <w:rPr>
          <w:rFonts w:hint="eastAsia"/>
          <w:color w:val="auto"/>
          <w:highlight w:val="none"/>
        </w:rPr>
        <w:t>）”：填报</w:t>
      </w:r>
      <w:r>
        <w:rPr>
          <w:color w:val="auto"/>
          <w:highlight w:val="none"/>
        </w:rPr>
        <w:t>25%</w:t>
      </w:r>
      <w:r>
        <w:rPr>
          <w:rFonts w:hint="eastAsia"/>
          <w:color w:val="auto"/>
          <w:highlight w:val="none"/>
        </w:rPr>
        <w:t>。</w:t>
      </w:r>
    </w:p>
    <w:p>
      <w:pPr>
        <w:pStyle w:val="11"/>
        <w:snapToGrid w:val="0"/>
        <w:spacing w:line="360" w:lineRule="auto"/>
        <w:textAlignment w:val="baseline"/>
        <w:rPr>
          <w:rFonts w:cs="Times New Roman"/>
          <w:color w:val="auto"/>
          <w:highlight w:val="none"/>
        </w:rPr>
      </w:pPr>
      <w:r>
        <w:rPr>
          <w:rFonts w:hint="eastAsia"/>
          <w:color w:val="auto"/>
          <w:highlight w:val="none"/>
          <w:lang w:val="en-US" w:eastAsia="zh-CN"/>
        </w:rPr>
        <w:t>31</w:t>
      </w:r>
      <w:r>
        <w:rPr>
          <w:color w:val="auto"/>
          <w:highlight w:val="none"/>
        </w:rPr>
        <w:t>.</w:t>
      </w:r>
      <w:r>
        <w:rPr>
          <w:rFonts w:hint="eastAsia"/>
          <w:color w:val="auto"/>
          <w:highlight w:val="none"/>
        </w:rPr>
        <w:t>第2</w:t>
      </w:r>
      <w:r>
        <w:rPr>
          <w:rFonts w:hint="eastAsia"/>
          <w:color w:val="auto"/>
          <w:highlight w:val="none"/>
          <w:lang w:val="en-US" w:eastAsia="zh-CN"/>
        </w:rPr>
        <w:t>7</w:t>
      </w:r>
      <w:r>
        <w:rPr>
          <w:rFonts w:hint="eastAsia"/>
          <w:color w:val="auto"/>
          <w:highlight w:val="none"/>
        </w:rPr>
        <w:t>行“应纳所得税额”：根据相关行次计算结果填报。第2</w:t>
      </w:r>
      <w:r>
        <w:rPr>
          <w:rFonts w:hint="eastAsia"/>
          <w:color w:val="auto"/>
          <w:highlight w:val="none"/>
          <w:lang w:val="en-US" w:eastAsia="zh-CN"/>
        </w:rPr>
        <w:t>7</w:t>
      </w:r>
      <w:r>
        <w:rPr>
          <w:rFonts w:hint="eastAsia"/>
          <w:color w:val="auto"/>
          <w:highlight w:val="none"/>
        </w:rPr>
        <w:t>行＝第2</w:t>
      </w:r>
      <w:r>
        <w:rPr>
          <w:rFonts w:hint="eastAsia"/>
          <w:color w:val="auto"/>
          <w:highlight w:val="none"/>
          <w:lang w:val="en-US" w:eastAsia="zh-CN"/>
        </w:rPr>
        <w:t>5</w:t>
      </w:r>
      <w:r>
        <w:rPr>
          <w:rFonts w:hint="eastAsia"/>
          <w:color w:val="auto"/>
          <w:highlight w:val="none"/>
        </w:rPr>
        <w:t>×2</w:t>
      </w:r>
      <w:r>
        <w:rPr>
          <w:rFonts w:hint="eastAsia"/>
          <w:color w:val="auto"/>
          <w:highlight w:val="none"/>
          <w:lang w:val="en-US" w:eastAsia="zh-CN"/>
        </w:rPr>
        <w:t>6</w:t>
      </w:r>
      <w:r>
        <w:rPr>
          <w:rFonts w:hint="eastAsia"/>
          <w:color w:val="auto"/>
          <w:highlight w:val="none"/>
        </w:rPr>
        <w:t>行，且第2</w:t>
      </w:r>
      <w:r>
        <w:rPr>
          <w:rFonts w:hint="eastAsia"/>
          <w:color w:val="auto"/>
          <w:highlight w:val="none"/>
          <w:lang w:val="en-US" w:eastAsia="zh-CN"/>
        </w:rPr>
        <w:t>7</w:t>
      </w:r>
      <w:r>
        <w:rPr>
          <w:rFonts w:hint="eastAsia"/>
          <w:color w:val="auto"/>
          <w:highlight w:val="none"/>
        </w:rPr>
        <w:t>行≥</w:t>
      </w:r>
      <w:r>
        <w:rPr>
          <w:color w:val="auto"/>
          <w:highlight w:val="none"/>
        </w:rPr>
        <w:t>0</w:t>
      </w:r>
      <w:r>
        <w:rPr>
          <w:rFonts w:hint="eastAsia"/>
          <w:color w:val="auto"/>
          <w:highlight w:val="none"/>
        </w:rPr>
        <w:t>。</w:t>
      </w:r>
    </w:p>
    <w:p>
      <w:pPr>
        <w:pStyle w:val="11"/>
        <w:snapToGrid w:val="0"/>
        <w:spacing w:line="360" w:lineRule="auto"/>
        <w:textAlignment w:val="baseline"/>
        <w:rPr>
          <w:color w:val="auto"/>
          <w:highlight w:val="none"/>
        </w:rPr>
      </w:pPr>
      <w:r>
        <w:rPr>
          <w:rFonts w:hint="eastAsia"/>
          <w:color w:val="auto"/>
          <w:highlight w:val="none"/>
          <w:lang w:val="en-US" w:eastAsia="zh-CN"/>
        </w:rPr>
        <w:t>32</w:t>
      </w:r>
      <w:r>
        <w:rPr>
          <w:color w:val="auto"/>
          <w:highlight w:val="none"/>
        </w:rPr>
        <w:t>.</w:t>
      </w:r>
      <w:r>
        <w:rPr>
          <w:rFonts w:hint="eastAsia"/>
          <w:color w:val="auto"/>
          <w:highlight w:val="none"/>
        </w:rPr>
        <w:t>第2</w:t>
      </w:r>
      <w:r>
        <w:rPr>
          <w:rFonts w:hint="eastAsia"/>
          <w:color w:val="auto"/>
          <w:highlight w:val="none"/>
          <w:lang w:val="en-US" w:eastAsia="zh-CN"/>
        </w:rPr>
        <w:t>8</w:t>
      </w:r>
      <w:r>
        <w:rPr>
          <w:rFonts w:hint="eastAsia"/>
          <w:color w:val="auto"/>
          <w:highlight w:val="none"/>
        </w:rPr>
        <w:t>行“减免所得税额”：根据相关行次计算结果填报，第2</w:t>
      </w:r>
      <w:r>
        <w:rPr>
          <w:rFonts w:hint="eastAsia"/>
          <w:color w:val="auto"/>
          <w:highlight w:val="none"/>
          <w:lang w:val="en-US" w:eastAsia="zh-CN"/>
        </w:rPr>
        <w:t>8</w:t>
      </w:r>
      <w:r>
        <w:rPr>
          <w:rFonts w:hint="eastAsia"/>
          <w:color w:val="auto"/>
          <w:highlight w:val="none"/>
        </w:rPr>
        <w:t>行≥</w:t>
      </w:r>
      <w:r>
        <w:rPr>
          <w:color w:val="auto"/>
          <w:highlight w:val="none"/>
        </w:rPr>
        <w:t>0</w:t>
      </w:r>
      <w:r>
        <w:rPr>
          <w:rFonts w:hint="eastAsia"/>
          <w:color w:val="auto"/>
          <w:highlight w:val="none"/>
          <w:lang w:val="en-US" w:eastAsia="zh-CN"/>
        </w:rPr>
        <w:t>且</w:t>
      </w:r>
      <w:r>
        <w:rPr>
          <w:rFonts w:hint="eastAsia" w:ascii="宋体" w:hAnsi="宋体" w:eastAsia="宋体" w:cs="宋体"/>
          <w:color w:val="auto"/>
          <w:highlight w:val="none"/>
          <w:lang w:val="en-US" w:eastAsia="zh-CN"/>
        </w:rPr>
        <w:t>≤</w:t>
      </w:r>
      <w:r>
        <w:rPr>
          <w:rFonts w:hint="eastAsia"/>
          <w:color w:val="auto"/>
          <w:highlight w:val="none"/>
        </w:rPr>
        <w:t>第2</w:t>
      </w:r>
      <w:r>
        <w:rPr>
          <w:rFonts w:hint="eastAsia"/>
          <w:color w:val="auto"/>
          <w:highlight w:val="none"/>
          <w:lang w:val="en-US" w:eastAsia="zh-CN"/>
        </w:rPr>
        <w:t>7</w:t>
      </w:r>
      <w:r>
        <w:rPr>
          <w:rFonts w:hint="eastAsia"/>
          <w:color w:val="auto"/>
          <w:highlight w:val="none"/>
        </w:rPr>
        <w:t>行。根据《企业所得税申报事项目录》，在第2</w:t>
      </w:r>
      <w:r>
        <w:rPr>
          <w:rFonts w:hint="eastAsia"/>
          <w:color w:val="auto"/>
          <w:highlight w:val="none"/>
          <w:lang w:val="en-US" w:eastAsia="zh-CN"/>
        </w:rPr>
        <w:t>8</w:t>
      </w:r>
      <w:r>
        <w:rPr>
          <w:rFonts w:hint="eastAsia"/>
          <w:color w:val="auto"/>
          <w:highlight w:val="none"/>
        </w:rPr>
        <w:t>.1行、第2</w:t>
      </w:r>
      <w:r>
        <w:rPr>
          <w:rFonts w:hint="eastAsia"/>
          <w:color w:val="auto"/>
          <w:highlight w:val="none"/>
          <w:lang w:val="en-US" w:eastAsia="zh-CN"/>
        </w:rPr>
        <w:t>8</w:t>
      </w:r>
      <w:r>
        <w:rPr>
          <w:rFonts w:hint="eastAsia"/>
          <w:color w:val="auto"/>
          <w:highlight w:val="none"/>
        </w:rPr>
        <w:t>.2行……填报税收规定的减免所得税额优惠事项的具体名称和本年累计金额。发生多项且根据税收规定可以同时享受的优惠事项，可以增加行次，但每个事项仅能填报一次。</w:t>
      </w:r>
    </w:p>
    <w:p>
      <w:pPr>
        <w:pStyle w:val="11"/>
        <w:snapToGrid w:val="0"/>
        <w:spacing w:line="360" w:lineRule="auto"/>
        <w:textAlignment w:val="baseline"/>
        <w:rPr>
          <w:rFonts w:hint="eastAsia"/>
          <w:color w:val="auto"/>
          <w:highlight w:val="none"/>
        </w:rPr>
      </w:pPr>
      <w:r>
        <w:rPr>
          <w:rFonts w:hint="eastAsia"/>
          <w:color w:val="auto"/>
          <w:highlight w:val="none"/>
          <w:lang w:val="en-US" w:eastAsia="zh-CN"/>
        </w:rPr>
        <w:t>33</w:t>
      </w:r>
      <w:r>
        <w:rPr>
          <w:color w:val="auto"/>
          <w:highlight w:val="none"/>
        </w:rPr>
        <w:t>.</w:t>
      </w:r>
      <w:r>
        <w:rPr>
          <w:rFonts w:hint="eastAsia"/>
          <w:color w:val="auto"/>
          <w:highlight w:val="none"/>
        </w:rPr>
        <w:t>第</w:t>
      </w:r>
      <w:r>
        <w:rPr>
          <w:rFonts w:hint="eastAsia"/>
          <w:color w:val="auto"/>
          <w:highlight w:val="none"/>
          <w:lang w:val="en-US" w:eastAsia="zh-CN"/>
        </w:rPr>
        <w:t>29</w:t>
      </w:r>
      <w:r>
        <w:rPr>
          <w:rFonts w:hint="eastAsia"/>
          <w:color w:val="auto"/>
          <w:highlight w:val="none"/>
        </w:rPr>
        <w:t>行“抵免所得税额”：</w:t>
      </w:r>
      <w:r>
        <w:rPr>
          <w:rFonts w:hint="eastAsia" w:ascii="宋体" w:hAnsi="宋体" w:eastAsia="宋体" w:cs="宋体"/>
          <w:color w:val="auto"/>
          <w:highlight w:val="none"/>
        </w:rPr>
        <w:t>填报纳税人</w:t>
      </w:r>
      <w:r>
        <w:rPr>
          <w:rFonts w:hint="eastAsia"/>
          <w:color w:val="auto"/>
          <w:highlight w:val="none"/>
        </w:rPr>
        <w:t>应纳所得税额中抵免的累计金额，第</w:t>
      </w:r>
      <w:r>
        <w:rPr>
          <w:rFonts w:hint="eastAsia"/>
          <w:color w:val="auto"/>
          <w:highlight w:val="none"/>
          <w:lang w:val="en-US" w:eastAsia="zh-CN"/>
        </w:rPr>
        <w:t>29</w:t>
      </w:r>
      <w:r>
        <w:rPr>
          <w:rFonts w:hint="eastAsia"/>
          <w:color w:val="auto"/>
          <w:highlight w:val="none"/>
        </w:rPr>
        <w:t>行≥</w:t>
      </w:r>
      <w:r>
        <w:rPr>
          <w:color w:val="auto"/>
          <w:highlight w:val="none"/>
        </w:rPr>
        <w:t>0</w:t>
      </w:r>
      <w:r>
        <w:rPr>
          <w:rFonts w:hint="eastAsia"/>
          <w:color w:val="auto"/>
          <w:highlight w:val="none"/>
        </w:rPr>
        <w:t>且</w:t>
      </w:r>
      <w:r>
        <w:rPr>
          <w:rFonts w:hint="eastAsia" w:ascii="宋体" w:hAnsi="宋体" w:eastAsia="宋体" w:cs="宋体"/>
          <w:color w:val="auto"/>
          <w:highlight w:val="none"/>
          <w:lang w:val="en-US" w:eastAsia="zh-CN"/>
        </w:rPr>
        <w:t>≤</w:t>
      </w:r>
      <w:r>
        <w:rPr>
          <w:rFonts w:hint="eastAsia"/>
          <w:color w:val="auto"/>
          <w:highlight w:val="none"/>
        </w:rPr>
        <w:t>第2</w:t>
      </w:r>
      <w:r>
        <w:rPr>
          <w:rFonts w:hint="eastAsia"/>
          <w:color w:val="auto"/>
          <w:highlight w:val="none"/>
          <w:lang w:val="en-US" w:eastAsia="zh-CN"/>
        </w:rPr>
        <w:t>7-28</w:t>
      </w:r>
      <w:r>
        <w:rPr>
          <w:rFonts w:hint="eastAsia"/>
          <w:color w:val="auto"/>
          <w:highlight w:val="none"/>
        </w:rPr>
        <w:t>行。</w:t>
      </w:r>
    </w:p>
    <w:p>
      <w:pPr>
        <w:pStyle w:val="11"/>
        <w:snapToGrid w:val="0"/>
        <w:spacing w:line="360" w:lineRule="auto"/>
        <w:textAlignment w:val="baseline"/>
        <w:rPr>
          <w:color w:val="auto"/>
          <w:highlight w:val="none"/>
        </w:rPr>
      </w:pPr>
      <w:r>
        <w:rPr>
          <w:rFonts w:hint="eastAsia"/>
          <w:color w:val="auto"/>
          <w:highlight w:val="none"/>
          <w:lang w:val="en-US" w:eastAsia="zh-CN"/>
        </w:rPr>
        <w:t>34</w:t>
      </w:r>
      <w:r>
        <w:rPr>
          <w:rFonts w:hint="eastAsia"/>
          <w:color w:val="auto"/>
          <w:highlight w:val="none"/>
        </w:rPr>
        <w:t>.“其中：本年允许抵免专用设备投资额（填写专用设备投资类型）”：根据《企业所得税申报事项目录》，在第</w:t>
      </w:r>
      <w:r>
        <w:rPr>
          <w:rFonts w:hint="eastAsia"/>
          <w:color w:val="auto"/>
          <w:highlight w:val="none"/>
          <w:lang w:val="en-US" w:eastAsia="zh-CN"/>
        </w:rPr>
        <w:t>29</w:t>
      </w:r>
      <w:r>
        <w:rPr>
          <w:rFonts w:hint="eastAsia"/>
          <w:color w:val="auto"/>
          <w:highlight w:val="none"/>
        </w:rPr>
        <w:t>.1行、第</w:t>
      </w:r>
      <w:r>
        <w:rPr>
          <w:rFonts w:hint="eastAsia"/>
          <w:color w:val="auto"/>
          <w:highlight w:val="none"/>
          <w:lang w:val="en-US" w:eastAsia="zh-CN"/>
        </w:rPr>
        <w:t>29</w:t>
      </w:r>
      <w:r>
        <w:rPr>
          <w:rFonts w:hint="eastAsia"/>
          <w:color w:val="auto"/>
          <w:highlight w:val="none"/>
        </w:rPr>
        <w:t>.2行……填报</w:t>
      </w:r>
      <w:r>
        <w:rPr>
          <w:rFonts w:hint="eastAsia"/>
          <w:color w:val="auto"/>
          <w:highlight w:val="none"/>
          <w:lang w:eastAsia="zh-CN"/>
        </w:rPr>
        <w:t>纳税人</w:t>
      </w:r>
      <w:r>
        <w:rPr>
          <w:rFonts w:hint="eastAsia"/>
          <w:color w:val="auto"/>
          <w:highlight w:val="none"/>
        </w:rPr>
        <w:t>按税收规定当年购置</w:t>
      </w:r>
      <w:r>
        <w:rPr>
          <w:rFonts w:hint="eastAsia"/>
          <w:color w:val="auto"/>
          <w:highlight w:val="none"/>
          <w:lang w:val="en-US" w:eastAsia="zh-CN"/>
        </w:rPr>
        <w:t>或投入数字化、智能化改造的</w:t>
      </w:r>
      <w:r>
        <w:rPr>
          <w:rFonts w:hint="eastAsia"/>
          <w:color w:val="auto"/>
          <w:highlight w:val="none"/>
        </w:rPr>
        <w:t>允许抵免的专用设备类型以及可享受抵免优惠的专用设备投资额，但不包括</w:t>
      </w:r>
      <w:r>
        <w:rPr>
          <w:color w:val="auto"/>
          <w:highlight w:val="none"/>
        </w:rPr>
        <w:t>允许抵扣的增值税进项税额、</w:t>
      </w:r>
      <w:r>
        <w:rPr>
          <w:rFonts w:hint="eastAsia"/>
          <w:color w:val="auto"/>
          <w:highlight w:val="none"/>
        </w:rPr>
        <w:t>按有关规定退还的增值税税款以及设备运输、安装和调试等费用。同时新增多类设备的可以增加行次，但每类设备仅能填报一次。</w:t>
      </w:r>
    </w:p>
    <w:p>
      <w:pPr>
        <w:pStyle w:val="11"/>
        <w:snapToGrid w:val="0"/>
        <w:spacing w:line="360" w:lineRule="auto"/>
        <w:textAlignment w:val="baseline"/>
        <w:rPr>
          <w:rFonts w:cs="Times New Roman"/>
          <w:color w:val="auto"/>
          <w:highlight w:val="none"/>
        </w:rPr>
      </w:pPr>
      <w:r>
        <w:rPr>
          <w:rFonts w:hint="eastAsia"/>
          <w:color w:val="auto"/>
          <w:highlight w:val="none"/>
          <w:lang w:val="en-US" w:eastAsia="zh-CN"/>
        </w:rPr>
        <w:t>35</w:t>
      </w:r>
      <w:r>
        <w:rPr>
          <w:rFonts w:hint="eastAsia"/>
          <w:color w:val="auto"/>
          <w:highlight w:val="none"/>
        </w:rPr>
        <w:t>.第</w:t>
      </w:r>
      <w:r>
        <w:rPr>
          <w:rFonts w:hint="eastAsia"/>
          <w:color w:val="auto"/>
          <w:highlight w:val="none"/>
          <w:lang w:val="en-US" w:eastAsia="zh-CN"/>
        </w:rPr>
        <w:t>30</w:t>
      </w:r>
      <w:r>
        <w:rPr>
          <w:rFonts w:hint="eastAsia"/>
          <w:color w:val="auto"/>
          <w:highlight w:val="none"/>
        </w:rPr>
        <w:t>行“本年累计已预缴所得税额”：</w:t>
      </w:r>
      <w:bookmarkStart w:id="5" w:name="_Hlk176881655"/>
      <w:r>
        <w:rPr>
          <w:rFonts w:hint="eastAsia"/>
          <w:color w:val="auto"/>
          <w:highlight w:val="none"/>
        </w:rPr>
        <w:t>填报纳税人按照税收规定已在此前月（季）度申报预缴企业所得税的本年累计金额。</w:t>
      </w:r>
      <w:bookmarkEnd w:id="5"/>
    </w:p>
    <w:p>
      <w:pPr>
        <w:pStyle w:val="11"/>
        <w:snapToGrid w:val="0"/>
        <w:spacing w:line="360" w:lineRule="auto"/>
        <w:textAlignment w:val="baseline"/>
        <w:rPr>
          <w:rFonts w:cs="Times New Roman"/>
          <w:color w:val="auto"/>
          <w:highlight w:val="none"/>
        </w:rPr>
      </w:pPr>
      <w:r>
        <w:rPr>
          <w:rFonts w:hint="eastAsia"/>
          <w:color w:val="auto"/>
          <w:highlight w:val="none"/>
        </w:rPr>
        <w:t>建筑企业总机构直接管理的跨地区设立的项目部，按照税收规定已经向项目所在地主管税务机关预缴企业所得税的金额不</w:t>
      </w:r>
      <w:r>
        <w:rPr>
          <w:rFonts w:hint="eastAsia"/>
          <w:color w:val="auto"/>
          <w:highlight w:val="none"/>
          <w:lang w:eastAsia="zh-CN"/>
        </w:rPr>
        <w:t>在</w:t>
      </w:r>
      <w:r>
        <w:rPr>
          <w:rFonts w:hint="eastAsia"/>
          <w:color w:val="auto"/>
          <w:highlight w:val="none"/>
        </w:rPr>
        <w:t>本行</w:t>
      </w:r>
      <w:r>
        <w:rPr>
          <w:rFonts w:hint="eastAsia"/>
          <w:color w:val="auto"/>
          <w:highlight w:val="none"/>
          <w:lang w:eastAsia="zh-CN"/>
        </w:rPr>
        <w:t>填报</w:t>
      </w:r>
      <w:r>
        <w:rPr>
          <w:rFonts w:hint="eastAsia"/>
          <w:color w:val="auto"/>
          <w:highlight w:val="none"/>
        </w:rPr>
        <w:t>，</w:t>
      </w:r>
      <w:r>
        <w:rPr>
          <w:rFonts w:hint="eastAsia"/>
          <w:color w:val="auto"/>
          <w:highlight w:val="none"/>
          <w:lang w:eastAsia="zh-CN"/>
        </w:rPr>
        <w:t>在</w:t>
      </w:r>
      <w:r>
        <w:rPr>
          <w:rFonts w:hint="eastAsia"/>
          <w:color w:val="auto"/>
          <w:highlight w:val="none"/>
        </w:rPr>
        <w:t>本表第</w:t>
      </w:r>
      <w:r>
        <w:rPr>
          <w:rFonts w:hint="eastAsia"/>
          <w:color w:val="auto"/>
          <w:highlight w:val="none"/>
          <w:lang w:val="en-US" w:eastAsia="zh-CN"/>
        </w:rPr>
        <w:t>31</w:t>
      </w:r>
      <w:r>
        <w:rPr>
          <w:rFonts w:hint="eastAsia"/>
          <w:color w:val="auto"/>
          <w:highlight w:val="none"/>
        </w:rPr>
        <w:t>行</w:t>
      </w:r>
      <w:r>
        <w:rPr>
          <w:rFonts w:hint="eastAsia"/>
          <w:color w:val="auto"/>
          <w:highlight w:val="none"/>
          <w:lang w:eastAsia="zh-CN"/>
        </w:rPr>
        <w:t>填报</w:t>
      </w:r>
      <w:r>
        <w:rPr>
          <w:rFonts w:hint="eastAsia"/>
          <w:color w:val="auto"/>
          <w:highlight w:val="none"/>
        </w:rPr>
        <w:t>。</w:t>
      </w:r>
    </w:p>
    <w:p>
      <w:pPr>
        <w:pStyle w:val="11"/>
        <w:snapToGrid w:val="0"/>
        <w:spacing w:line="360" w:lineRule="auto"/>
        <w:textAlignment w:val="baseline"/>
        <w:rPr>
          <w:rFonts w:cs="Times New Roman"/>
          <w:color w:val="auto"/>
          <w:highlight w:val="none"/>
        </w:rPr>
      </w:pPr>
      <w:r>
        <w:rPr>
          <w:rFonts w:hint="eastAsia"/>
          <w:color w:val="auto"/>
          <w:highlight w:val="none"/>
        </w:rPr>
        <w:t>3</w:t>
      </w:r>
      <w:r>
        <w:rPr>
          <w:rFonts w:hint="eastAsia"/>
          <w:color w:val="auto"/>
          <w:highlight w:val="none"/>
          <w:lang w:val="en-US" w:eastAsia="zh-CN"/>
        </w:rPr>
        <w:t>6</w:t>
      </w:r>
      <w:r>
        <w:rPr>
          <w:color w:val="auto"/>
          <w:highlight w:val="none"/>
        </w:rPr>
        <w:t>.</w:t>
      </w:r>
      <w:r>
        <w:rPr>
          <w:rFonts w:hint="eastAsia"/>
          <w:color w:val="auto"/>
          <w:highlight w:val="none"/>
        </w:rPr>
        <w:t>第</w:t>
      </w:r>
      <w:r>
        <w:rPr>
          <w:rFonts w:hint="eastAsia"/>
          <w:color w:val="auto"/>
          <w:highlight w:val="none"/>
          <w:lang w:val="en-US" w:eastAsia="zh-CN"/>
        </w:rPr>
        <w:t>31</w:t>
      </w:r>
      <w:r>
        <w:rPr>
          <w:rFonts w:hint="eastAsia"/>
          <w:color w:val="auto"/>
          <w:highlight w:val="none"/>
        </w:rPr>
        <w:t>行“特定业务预缴（征）所得税额”：填报建筑企业总机构直接管理的跨地区设立的项目部，按照税收规定已经向项目所在地主管税务机关预缴企业所得税的本年累计金额。</w:t>
      </w:r>
    </w:p>
    <w:p>
      <w:pPr>
        <w:pStyle w:val="11"/>
        <w:snapToGrid w:val="0"/>
        <w:spacing w:line="360" w:lineRule="auto"/>
        <w:textAlignment w:val="baseline"/>
        <w:rPr>
          <w:color w:val="auto"/>
          <w:highlight w:val="none"/>
        </w:rPr>
      </w:pPr>
      <w:r>
        <w:rPr>
          <w:rFonts w:hint="eastAsia"/>
          <w:color w:val="auto"/>
          <w:highlight w:val="none"/>
        </w:rPr>
        <w:t>本行本期填报金额不得小于上期</w:t>
      </w:r>
      <w:r>
        <w:rPr>
          <w:rFonts w:hint="eastAsia"/>
          <w:color w:val="auto"/>
          <w:highlight w:val="none"/>
          <w:lang w:eastAsia="zh-CN"/>
        </w:rPr>
        <w:t>填报</w:t>
      </w:r>
      <w:r>
        <w:rPr>
          <w:rFonts w:hint="eastAsia"/>
          <w:color w:val="auto"/>
          <w:highlight w:val="none"/>
        </w:rPr>
        <w:t>的金额。</w:t>
      </w:r>
    </w:p>
    <w:p>
      <w:pPr>
        <w:pStyle w:val="11"/>
        <w:snapToGrid w:val="0"/>
        <w:spacing w:line="360" w:lineRule="auto"/>
        <w:textAlignment w:val="baseline"/>
        <w:rPr>
          <w:rFonts w:cs="Times New Roman"/>
          <w:color w:val="auto"/>
          <w:highlight w:val="none"/>
        </w:rPr>
      </w:pPr>
      <w:r>
        <w:rPr>
          <w:rFonts w:hint="eastAsia"/>
          <w:color w:val="auto"/>
          <w:highlight w:val="none"/>
        </w:rPr>
        <w:t>3</w:t>
      </w:r>
      <w:r>
        <w:rPr>
          <w:rFonts w:hint="eastAsia"/>
          <w:color w:val="auto"/>
          <w:highlight w:val="none"/>
          <w:lang w:val="en-US" w:eastAsia="zh-CN"/>
        </w:rPr>
        <w:t>7</w:t>
      </w:r>
      <w:r>
        <w:rPr>
          <w:color w:val="auto"/>
          <w:highlight w:val="none"/>
        </w:rPr>
        <w:t>.</w:t>
      </w:r>
      <w:r>
        <w:rPr>
          <w:rFonts w:hint="eastAsia"/>
          <w:color w:val="auto"/>
          <w:highlight w:val="none"/>
        </w:rPr>
        <w:t>第</w:t>
      </w:r>
      <w:r>
        <w:rPr>
          <w:rFonts w:hint="eastAsia"/>
          <w:color w:val="auto"/>
          <w:highlight w:val="none"/>
          <w:lang w:val="en-US" w:eastAsia="zh-CN"/>
        </w:rPr>
        <w:t>32</w:t>
      </w:r>
      <w:r>
        <w:rPr>
          <w:rFonts w:hint="eastAsia"/>
          <w:color w:val="auto"/>
          <w:highlight w:val="none"/>
        </w:rPr>
        <w:t>行“本期应补（退）所得税额</w:t>
      </w:r>
      <w:r>
        <w:rPr>
          <w:color w:val="auto"/>
          <w:highlight w:val="none"/>
        </w:rPr>
        <w:t xml:space="preserve"> \ </w:t>
      </w:r>
      <w:r>
        <w:rPr>
          <w:rFonts w:hint="eastAsia"/>
          <w:color w:val="auto"/>
          <w:highlight w:val="none"/>
        </w:rPr>
        <w:t>税务机关确定的本期应纳所得税额”：按照不同预缴方式，分情况填报：</w:t>
      </w:r>
    </w:p>
    <w:p>
      <w:pPr>
        <w:pStyle w:val="11"/>
        <w:snapToGrid w:val="0"/>
        <w:spacing w:line="360" w:lineRule="auto"/>
        <w:textAlignment w:val="baseline"/>
        <w:rPr>
          <w:rFonts w:cs="Times New Roman"/>
          <w:color w:val="auto"/>
          <w:highlight w:val="none"/>
        </w:rPr>
      </w:pPr>
      <w:r>
        <w:rPr>
          <w:rFonts w:hint="eastAsia"/>
          <w:color w:val="auto"/>
          <w:highlight w:val="none"/>
        </w:rPr>
        <w:t>预缴方式为“按照实际利润额预缴”以及“按照上一纳税年度应纳税所得额平均额预缴”的纳税人，根据本表相关行次计算填报。第</w:t>
      </w:r>
      <w:r>
        <w:rPr>
          <w:rFonts w:hint="eastAsia"/>
          <w:color w:val="auto"/>
          <w:highlight w:val="none"/>
          <w:lang w:val="en-US" w:eastAsia="zh-CN"/>
        </w:rPr>
        <w:t>32</w:t>
      </w:r>
      <w:r>
        <w:rPr>
          <w:rFonts w:hint="eastAsia"/>
          <w:color w:val="auto"/>
          <w:highlight w:val="none"/>
        </w:rPr>
        <w:t>行＝</w:t>
      </w:r>
      <w:bookmarkStart w:id="6" w:name="OLE_LINK3"/>
      <w:r>
        <w:rPr>
          <w:rFonts w:hint="eastAsia"/>
          <w:color w:val="auto"/>
          <w:highlight w:val="none"/>
        </w:rPr>
        <w:t>第</w:t>
      </w:r>
      <w:r>
        <w:rPr>
          <w:rFonts w:hint="eastAsia"/>
          <w:color w:val="auto"/>
          <w:highlight w:val="none"/>
          <w:lang w:val="en-US" w:eastAsia="zh-CN"/>
        </w:rPr>
        <w:t>27-</w:t>
      </w:r>
      <w:r>
        <w:rPr>
          <w:rFonts w:hint="eastAsia"/>
          <w:color w:val="auto"/>
          <w:highlight w:val="none"/>
        </w:rPr>
        <w:t>2</w:t>
      </w:r>
      <w:r>
        <w:rPr>
          <w:rFonts w:hint="eastAsia"/>
          <w:color w:val="auto"/>
          <w:highlight w:val="none"/>
          <w:lang w:val="en-US" w:eastAsia="zh-CN"/>
        </w:rPr>
        <w:t>8</w:t>
      </w:r>
      <w:r>
        <w:rPr>
          <w:color w:val="auto"/>
          <w:highlight w:val="none"/>
        </w:rPr>
        <w:t>-</w:t>
      </w:r>
      <w:r>
        <w:rPr>
          <w:rFonts w:hint="eastAsia"/>
          <w:color w:val="auto"/>
          <w:highlight w:val="none"/>
        </w:rPr>
        <w:t>2</w:t>
      </w:r>
      <w:r>
        <w:rPr>
          <w:rFonts w:hint="eastAsia"/>
          <w:color w:val="auto"/>
          <w:highlight w:val="none"/>
          <w:lang w:val="en-US" w:eastAsia="zh-CN"/>
        </w:rPr>
        <w:t>9</w:t>
      </w:r>
      <w:r>
        <w:rPr>
          <w:color w:val="auto"/>
          <w:highlight w:val="none"/>
        </w:rPr>
        <w:t>-</w:t>
      </w:r>
      <w:r>
        <w:rPr>
          <w:rFonts w:hint="eastAsia"/>
          <w:color w:val="auto"/>
          <w:highlight w:val="none"/>
          <w:lang w:val="en-US" w:eastAsia="zh-CN"/>
        </w:rPr>
        <w:t>30</w:t>
      </w:r>
      <w:r>
        <w:rPr>
          <w:color w:val="auto"/>
          <w:highlight w:val="none"/>
        </w:rPr>
        <w:t>-</w:t>
      </w:r>
      <w:r>
        <w:rPr>
          <w:rFonts w:hint="eastAsia"/>
          <w:color w:val="auto"/>
          <w:highlight w:val="none"/>
          <w:lang w:val="en-US" w:eastAsia="zh-CN"/>
        </w:rPr>
        <w:t>31</w:t>
      </w:r>
      <w:bookmarkEnd w:id="6"/>
      <w:r>
        <w:rPr>
          <w:rFonts w:hint="eastAsia"/>
          <w:color w:val="auto"/>
          <w:highlight w:val="none"/>
        </w:rPr>
        <w:t>行，当第</w:t>
      </w:r>
      <w:r>
        <w:rPr>
          <w:rFonts w:hint="eastAsia"/>
          <w:color w:val="auto"/>
          <w:highlight w:val="none"/>
          <w:lang w:val="en-US" w:eastAsia="zh-CN"/>
        </w:rPr>
        <w:t>27-</w:t>
      </w:r>
      <w:r>
        <w:rPr>
          <w:rFonts w:hint="eastAsia"/>
          <w:color w:val="auto"/>
          <w:highlight w:val="none"/>
        </w:rPr>
        <w:t>2</w:t>
      </w:r>
      <w:r>
        <w:rPr>
          <w:rFonts w:hint="eastAsia"/>
          <w:color w:val="auto"/>
          <w:highlight w:val="none"/>
          <w:lang w:val="en-US" w:eastAsia="zh-CN"/>
        </w:rPr>
        <w:t>8</w:t>
      </w:r>
      <w:r>
        <w:rPr>
          <w:color w:val="auto"/>
          <w:highlight w:val="none"/>
        </w:rPr>
        <w:t>-</w:t>
      </w:r>
      <w:r>
        <w:rPr>
          <w:rFonts w:hint="eastAsia"/>
          <w:color w:val="auto"/>
          <w:highlight w:val="none"/>
        </w:rPr>
        <w:t>2</w:t>
      </w:r>
      <w:r>
        <w:rPr>
          <w:rFonts w:hint="eastAsia"/>
          <w:color w:val="auto"/>
          <w:highlight w:val="none"/>
          <w:lang w:val="en-US" w:eastAsia="zh-CN"/>
        </w:rPr>
        <w:t>9</w:t>
      </w:r>
      <w:r>
        <w:rPr>
          <w:color w:val="auto"/>
          <w:highlight w:val="none"/>
        </w:rPr>
        <w:t>-</w:t>
      </w:r>
      <w:r>
        <w:rPr>
          <w:rFonts w:hint="eastAsia"/>
          <w:color w:val="auto"/>
          <w:highlight w:val="none"/>
          <w:lang w:val="en-US" w:eastAsia="zh-CN"/>
        </w:rPr>
        <w:t>30</w:t>
      </w:r>
      <w:r>
        <w:rPr>
          <w:color w:val="auto"/>
          <w:highlight w:val="none"/>
        </w:rPr>
        <w:t>-</w:t>
      </w:r>
      <w:r>
        <w:rPr>
          <w:rFonts w:hint="eastAsia"/>
          <w:color w:val="auto"/>
          <w:highlight w:val="none"/>
          <w:lang w:val="en-US" w:eastAsia="zh-CN"/>
        </w:rPr>
        <w:t>31</w:t>
      </w:r>
      <w:r>
        <w:rPr>
          <w:rFonts w:hint="eastAsia"/>
          <w:color w:val="auto"/>
          <w:highlight w:val="none"/>
        </w:rPr>
        <w:t>行＜</w:t>
      </w:r>
      <w:r>
        <w:rPr>
          <w:color w:val="auto"/>
          <w:highlight w:val="none"/>
        </w:rPr>
        <w:t>0</w:t>
      </w:r>
      <w:r>
        <w:rPr>
          <w:rFonts w:hint="eastAsia"/>
          <w:color w:val="auto"/>
          <w:highlight w:val="none"/>
        </w:rPr>
        <w:t>时，第</w:t>
      </w:r>
      <w:r>
        <w:rPr>
          <w:rFonts w:hint="eastAsia"/>
          <w:color w:val="auto"/>
          <w:highlight w:val="none"/>
          <w:lang w:val="en-US" w:eastAsia="zh-CN"/>
        </w:rPr>
        <w:t>32</w:t>
      </w:r>
      <w:r>
        <w:rPr>
          <w:rFonts w:hint="eastAsia"/>
          <w:color w:val="auto"/>
          <w:highlight w:val="none"/>
        </w:rPr>
        <w:t>行＝</w:t>
      </w:r>
      <w:r>
        <w:rPr>
          <w:color w:val="auto"/>
          <w:highlight w:val="none"/>
        </w:rPr>
        <w:t>0</w:t>
      </w:r>
      <w:r>
        <w:rPr>
          <w:rFonts w:hint="eastAsia"/>
          <w:color w:val="auto"/>
          <w:highlight w:val="none"/>
        </w:rPr>
        <w:t>。其中，企业所得税收入全额归属中央且按比例就地预缴企业的分支机构，以及在同一省（自治区、直辖市、计划单列市）内的按比例就地预缴企业的分支机构，第</w:t>
      </w:r>
      <w:r>
        <w:rPr>
          <w:rFonts w:hint="eastAsia"/>
          <w:color w:val="auto"/>
          <w:highlight w:val="none"/>
          <w:lang w:val="en-US" w:eastAsia="zh-CN"/>
        </w:rPr>
        <w:t>32</w:t>
      </w:r>
      <w:r>
        <w:rPr>
          <w:rFonts w:hint="eastAsia"/>
          <w:color w:val="auto"/>
          <w:highlight w:val="none"/>
        </w:rPr>
        <w:t>行＝第</w:t>
      </w:r>
      <w:r>
        <w:rPr>
          <w:rFonts w:hint="eastAsia"/>
          <w:color w:val="auto"/>
          <w:highlight w:val="none"/>
          <w:lang w:val="en-US" w:eastAsia="zh-CN"/>
        </w:rPr>
        <w:t>27</w:t>
      </w:r>
      <w:r>
        <w:rPr>
          <w:rFonts w:hint="eastAsia"/>
          <w:color w:val="auto"/>
          <w:highlight w:val="none"/>
        </w:rPr>
        <w:t>行×就地预缴比例</w:t>
      </w:r>
      <w:r>
        <w:rPr>
          <w:color w:val="auto"/>
          <w:highlight w:val="none"/>
        </w:rPr>
        <w:t>-</w:t>
      </w:r>
      <w:r>
        <w:rPr>
          <w:rFonts w:hint="eastAsia"/>
          <w:color w:val="auto"/>
          <w:highlight w:val="none"/>
        </w:rPr>
        <w:t>第2</w:t>
      </w:r>
      <w:r>
        <w:rPr>
          <w:rFonts w:hint="eastAsia"/>
          <w:color w:val="auto"/>
          <w:highlight w:val="none"/>
          <w:lang w:val="en-US" w:eastAsia="zh-CN"/>
        </w:rPr>
        <w:t>8</w:t>
      </w:r>
      <w:r>
        <w:rPr>
          <w:rFonts w:hint="eastAsia"/>
          <w:color w:val="auto"/>
          <w:highlight w:val="none"/>
        </w:rPr>
        <w:t>行×就地预缴比例</w:t>
      </w:r>
      <w:r>
        <w:rPr>
          <w:color w:val="auto"/>
          <w:highlight w:val="none"/>
        </w:rPr>
        <w:t>-</w:t>
      </w:r>
      <w:r>
        <w:rPr>
          <w:rFonts w:hint="eastAsia"/>
          <w:color w:val="auto"/>
          <w:highlight w:val="none"/>
        </w:rPr>
        <w:t>第</w:t>
      </w:r>
      <w:r>
        <w:rPr>
          <w:rFonts w:hint="eastAsia"/>
          <w:color w:val="auto"/>
          <w:highlight w:val="none"/>
          <w:lang w:val="en-US" w:eastAsia="zh-CN"/>
        </w:rPr>
        <w:t>29</w:t>
      </w:r>
      <w:r>
        <w:rPr>
          <w:rFonts w:hint="eastAsia"/>
          <w:color w:val="auto"/>
          <w:highlight w:val="none"/>
        </w:rPr>
        <w:t>行</w:t>
      </w:r>
      <w:r>
        <w:rPr>
          <w:rFonts w:hint="eastAsia"/>
          <w:color w:val="auto"/>
          <w:sz w:val="24"/>
          <w:szCs w:val="24"/>
          <w:highlight w:val="none"/>
          <w:lang w:val="en-US" w:eastAsia="zh-CN"/>
        </w:rPr>
        <w:t>×就地预缴比例</w:t>
      </w:r>
      <w:r>
        <w:rPr>
          <w:color w:val="auto"/>
          <w:highlight w:val="none"/>
        </w:rPr>
        <w:t>-</w:t>
      </w:r>
      <w:r>
        <w:rPr>
          <w:rFonts w:hint="eastAsia"/>
          <w:color w:val="auto"/>
          <w:highlight w:val="none"/>
        </w:rPr>
        <w:t>第</w:t>
      </w:r>
      <w:r>
        <w:rPr>
          <w:rFonts w:hint="eastAsia"/>
          <w:color w:val="auto"/>
          <w:highlight w:val="none"/>
          <w:lang w:val="en-US" w:eastAsia="zh-CN"/>
        </w:rPr>
        <w:t>30</w:t>
      </w:r>
      <w:r>
        <w:rPr>
          <w:rFonts w:hint="eastAsia"/>
          <w:color w:val="auto"/>
          <w:highlight w:val="none"/>
        </w:rPr>
        <w:t>行-第</w:t>
      </w:r>
      <w:r>
        <w:rPr>
          <w:rFonts w:hint="eastAsia"/>
          <w:color w:val="auto"/>
          <w:highlight w:val="none"/>
          <w:lang w:val="en-US" w:eastAsia="zh-CN"/>
        </w:rPr>
        <w:t>31</w:t>
      </w:r>
      <w:r>
        <w:rPr>
          <w:rFonts w:hint="eastAsia"/>
          <w:color w:val="auto"/>
          <w:highlight w:val="none"/>
        </w:rPr>
        <w:t>行，当第2</w:t>
      </w:r>
      <w:r>
        <w:rPr>
          <w:rFonts w:hint="eastAsia"/>
          <w:color w:val="auto"/>
          <w:highlight w:val="none"/>
          <w:lang w:val="en-US" w:eastAsia="zh-CN"/>
        </w:rPr>
        <w:t>7</w:t>
      </w:r>
      <w:r>
        <w:rPr>
          <w:rFonts w:hint="eastAsia"/>
          <w:color w:val="auto"/>
          <w:highlight w:val="none"/>
        </w:rPr>
        <w:t>行×就地预缴比例</w:t>
      </w:r>
      <w:r>
        <w:rPr>
          <w:color w:val="auto"/>
          <w:highlight w:val="none"/>
        </w:rPr>
        <w:t>-</w:t>
      </w:r>
      <w:r>
        <w:rPr>
          <w:rFonts w:hint="eastAsia"/>
          <w:color w:val="auto"/>
          <w:highlight w:val="none"/>
        </w:rPr>
        <w:t>第2</w:t>
      </w:r>
      <w:r>
        <w:rPr>
          <w:rFonts w:hint="eastAsia"/>
          <w:color w:val="auto"/>
          <w:highlight w:val="none"/>
          <w:lang w:val="en-US" w:eastAsia="zh-CN"/>
        </w:rPr>
        <w:t>8</w:t>
      </w:r>
      <w:r>
        <w:rPr>
          <w:rFonts w:hint="eastAsia"/>
          <w:color w:val="auto"/>
          <w:highlight w:val="none"/>
        </w:rPr>
        <w:t>行×就地预缴比例</w:t>
      </w:r>
      <w:r>
        <w:rPr>
          <w:color w:val="auto"/>
          <w:highlight w:val="none"/>
        </w:rPr>
        <w:t>-</w:t>
      </w:r>
      <w:r>
        <w:rPr>
          <w:rFonts w:hint="eastAsia"/>
          <w:color w:val="auto"/>
          <w:highlight w:val="none"/>
        </w:rPr>
        <w:t>第</w:t>
      </w:r>
      <w:r>
        <w:rPr>
          <w:rFonts w:hint="eastAsia"/>
          <w:color w:val="auto"/>
          <w:highlight w:val="none"/>
          <w:lang w:val="en-US" w:eastAsia="zh-CN"/>
        </w:rPr>
        <w:t>29</w:t>
      </w:r>
      <w:r>
        <w:rPr>
          <w:rFonts w:hint="eastAsia"/>
          <w:color w:val="auto"/>
          <w:highlight w:val="none"/>
        </w:rPr>
        <w:t>行</w:t>
      </w:r>
      <w:r>
        <w:rPr>
          <w:rFonts w:hint="eastAsia"/>
          <w:color w:val="auto"/>
          <w:sz w:val="24"/>
          <w:szCs w:val="24"/>
          <w:highlight w:val="none"/>
          <w:lang w:val="en-US" w:eastAsia="zh-CN"/>
        </w:rPr>
        <w:t>×就地预缴比例</w:t>
      </w:r>
      <w:r>
        <w:rPr>
          <w:color w:val="auto"/>
          <w:highlight w:val="none"/>
        </w:rPr>
        <w:t>-</w:t>
      </w:r>
      <w:r>
        <w:rPr>
          <w:rFonts w:hint="eastAsia"/>
          <w:color w:val="auto"/>
          <w:highlight w:val="none"/>
        </w:rPr>
        <w:t>第</w:t>
      </w:r>
      <w:r>
        <w:rPr>
          <w:rFonts w:hint="eastAsia"/>
          <w:color w:val="auto"/>
          <w:highlight w:val="none"/>
          <w:lang w:val="en-US" w:eastAsia="zh-CN"/>
        </w:rPr>
        <w:t>30</w:t>
      </w:r>
      <w:r>
        <w:rPr>
          <w:rFonts w:hint="eastAsia"/>
          <w:color w:val="auto"/>
          <w:highlight w:val="none"/>
        </w:rPr>
        <w:t>行-第</w:t>
      </w:r>
      <w:r>
        <w:rPr>
          <w:rFonts w:hint="eastAsia"/>
          <w:color w:val="auto"/>
          <w:highlight w:val="none"/>
          <w:lang w:val="en-US" w:eastAsia="zh-CN"/>
        </w:rPr>
        <w:t>31</w:t>
      </w:r>
      <w:r>
        <w:rPr>
          <w:rFonts w:hint="eastAsia"/>
          <w:color w:val="auto"/>
          <w:highlight w:val="none"/>
        </w:rPr>
        <w:t>行＜</w:t>
      </w:r>
      <w:r>
        <w:rPr>
          <w:color w:val="auto"/>
          <w:highlight w:val="none"/>
        </w:rPr>
        <w:t>0</w:t>
      </w:r>
      <w:r>
        <w:rPr>
          <w:rFonts w:hint="eastAsia"/>
          <w:color w:val="auto"/>
          <w:highlight w:val="none"/>
        </w:rPr>
        <w:t>时，第</w:t>
      </w:r>
      <w:r>
        <w:rPr>
          <w:rFonts w:hint="eastAsia"/>
          <w:color w:val="auto"/>
          <w:highlight w:val="none"/>
          <w:lang w:val="en-US" w:eastAsia="zh-CN"/>
        </w:rPr>
        <w:t>32</w:t>
      </w:r>
      <w:r>
        <w:rPr>
          <w:rFonts w:hint="eastAsia"/>
          <w:color w:val="auto"/>
          <w:highlight w:val="none"/>
        </w:rPr>
        <w:t>行＝</w:t>
      </w:r>
      <w:r>
        <w:rPr>
          <w:color w:val="auto"/>
          <w:highlight w:val="none"/>
        </w:rPr>
        <w:t>0</w:t>
      </w:r>
      <w:r>
        <w:rPr>
          <w:rFonts w:hint="eastAsia"/>
          <w:color w:val="auto"/>
          <w:highlight w:val="none"/>
        </w:rPr>
        <w:t>。</w:t>
      </w:r>
    </w:p>
    <w:p>
      <w:pPr>
        <w:pStyle w:val="11"/>
        <w:snapToGrid w:val="0"/>
        <w:spacing w:line="360" w:lineRule="auto"/>
        <w:textAlignment w:val="baseline"/>
        <w:rPr>
          <w:color w:val="auto"/>
          <w:highlight w:val="none"/>
        </w:rPr>
      </w:pPr>
      <w:r>
        <w:rPr>
          <w:rFonts w:hint="eastAsia"/>
          <w:color w:val="auto"/>
          <w:highlight w:val="none"/>
        </w:rPr>
        <w:t>预缴方式为“按照税务机关确定的其他方法预缴”的纳税人，本行填报本期应纳企业所得税的金额。</w:t>
      </w:r>
    </w:p>
    <w:p>
      <w:pPr>
        <w:pStyle w:val="12"/>
        <w:snapToGrid w:val="0"/>
        <w:spacing w:line="360" w:lineRule="auto"/>
        <w:textAlignment w:val="baseline"/>
        <w:rPr>
          <w:rFonts w:ascii="黑体" w:hAnsi="黑体" w:eastAsia="黑体"/>
          <w:color w:val="auto"/>
          <w:highlight w:val="none"/>
        </w:rPr>
      </w:pPr>
      <w:r>
        <w:rPr>
          <w:rFonts w:hint="eastAsia" w:ascii="黑体" w:hAnsi="黑体" w:eastAsia="黑体"/>
          <w:color w:val="auto"/>
          <w:highlight w:val="none"/>
        </w:rPr>
        <w:t>五、汇总纳税企业总分机构税款计算</w:t>
      </w:r>
    </w:p>
    <w:p>
      <w:pPr>
        <w:pStyle w:val="11"/>
        <w:snapToGrid w:val="0"/>
        <w:spacing w:line="360" w:lineRule="auto"/>
        <w:textAlignment w:val="baseline"/>
        <w:rPr>
          <w:rFonts w:cs="Times New Roman"/>
          <w:color w:val="auto"/>
          <w:highlight w:val="none"/>
        </w:rPr>
      </w:pPr>
      <w:r>
        <w:rPr>
          <w:rFonts w:hint="eastAsia"/>
          <w:color w:val="auto"/>
          <w:highlight w:val="none"/>
        </w:rPr>
        <w:t>“跨地区经营汇总纳税企业总机构”的纳税人填报第</w:t>
      </w:r>
      <w:r>
        <w:rPr>
          <w:rFonts w:hint="eastAsia"/>
          <w:color w:val="auto"/>
          <w:highlight w:val="none"/>
          <w:lang w:val="en-US" w:eastAsia="zh-CN"/>
        </w:rPr>
        <w:t>33至第</w:t>
      </w:r>
      <w:r>
        <w:rPr>
          <w:rFonts w:hint="eastAsia"/>
          <w:color w:val="auto"/>
          <w:highlight w:val="none"/>
        </w:rPr>
        <w:t>3</w:t>
      </w:r>
      <w:r>
        <w:rPr>
          <w:rFonts w:hint="eastAsia"/>
          <w:color w:val="auto"/>
          <w:highlight w:val="none"/>
          <w:lang w:val="en-US" w:eastAsia="zh-CN"/>
        </w:rPr>
        <w:t>6</w:t>
      </w:r>
      <w:r>
        <w:rPr>
          <w:rFonts w:hint="eastAsia"/>
          <w:color w:val="auto"/>
          <w:highlight w:val="none"/>
        </w:rPr>
        <w:t>行；“跨地区经营汇总纳税企业分支机构”的纳税人填报第3</w:t>
      </w:r>
      <w:r>
        <w:rPr>
          <w:rFonts w:hint="eastAsia"/>
          <w:color w:val="auto"/>
          <w:highlight w:val="none"/>
          <w:lang w:val="en-US" w:eastAsia="zh-CN"/>
        </w:rPr>
        <w:t>7</w:t>
      </w:r>
      <w:r>
        <w:rPr>
          <w:rFonts w:hint="eastAsia"/>
          <w:color w:val="auto"/>
          <w:highlight w:val="none"/>
        </w:rPr>
        <w:t>、3</w:t>
      </w:r>
      <w:r>
        <w:rPr>
          <w:rFonts w:hint="eastAsia"/>
          <w:color w:val="auto"/>
          <w:highlight w:val="none"/>
          <w:lang w:val="en-US" w:eastAsia="zh-CN"/>
        </w:rPr>
        <w:t>8</w:t>
      </w:r>
      <w:r>
        <w:rPr>
          <w:rFonts w:hint="eastAsia"/>
          <w:color w:val="auto"/>
          <w:highlight w:val="none"/>
        </w:rPr>
        <w:t>行。</w:t>
      </w:r>
    </w:p>
    <w:p>
      <w:pPr>
        <w:pStyle w:val="11"/>
        <w:snapToGrid w:val="0"/>
        <w:spacing w:line="360" w:lineRule="auto"/>
        <w:textAlignment w:val="baseline"/>
        <w:rPr>
          <w:rFonts w:cs="Times New Roman"/>
          <w:color w:val="auto"/>
          <w:highlight w:val="none"/>
        </w:rPr>
      </w:pPr>
      <w:r>
        <w:rPr>
          <w:color w:val="auto"/>
          <w:highlight w:val="none"/>
        </w:rPr>
        <w:t>1.</w:t>
      </w:r>
      <w:r>
        <w:rPr>
          <w:rFonts w:hint="eastAsia"/>
          <w:color w:val="auto"/>
          <w:highlight w:val="none"/>
        </w:rPr>
        <w:t>第</w:t>
      </w:r>
      <w:r>
        <w:rPr>
          <w:rFonts w:hint="eastAsia"/>
          <w:color w:val="auto"/>
          <w:highlight w:val="none"/>
          <w:lang w:val="en-US" w:eastAsia="zh-CN"/>
        </w:rPr>
        <w:t>33</w:t>
      </w:r>
      <w:r>
        <w:rPr>
          <w:rFonts w:hint="eastAsia"/>
          <w:color w:val="auto"/>
          <w:highlight w:val="none"/>
        </w:rPr>
        <w:t>行“总机构本期分摊应补（退）所得税额”：跨地区经营汇总纳税企业的总机构根据相关行次计算结果填报，第</w:t>
      </w:r>
      <w:r>
        <w:rPr>
          <w:rFonts w:hint="eastAsia"/>
          <w:color w:val="auto"/>
          <w:highlight w:val="none"/>
          <w:lang w:val="en-US" w:eastAsia="zh-CN"/>
        </w:rPr>
        <w:t>33</w:t>
      </w:r>
      <w:r>
        <w:rPr>
          <w:rFonts w:hint="eastAsia"/>
          <w:color w:val="auto"/>
          <w:highlight w:val="none"/>
        </w:rPr>
        <w:t>行＝第3</w:t>
      </w:r>
      <w:r>
        <w:rPr>
          <w:rFonts w:hint="eastAsia"/>
          <w:color w:val="auto"/>
          <w:highlight w:val="none"/>
          <w:lang w:val="en-US" w:eastAsia="zh-CN"/>
        </w:rPr>
        <w:t>4</w:t>
      </w:r>
      <w:r>
        <w:rPr>
          <w:color w:val="auto"/>
          <w:highlight w:val="none"/>
        </w:rPr>
        <w:t>+</w:t>
      </w:r>
      <w:r>
        <w:rPr>
          <w:rFonts w:hint="eastAsia"/>
          <w:color w:val="auto"/>
          <w:highlight w:val="none"/>
        </w:rPr>
        <w:t>3</w:t>
      </w:r>
      <w:r>
        <w:rPr>
          <w:rFonts w:hint="eastAsia"/>
          <w:color w:val="auto"/>
          <w:highlight w:val="none"/>
          <w:lang w:val="en-US" w:eastAsia="zh-CN"/>
        </w:rPr>
        <w:t>5</w:t>
      </w:r>
      <w:r>
        <w:rPr>
          <w:rFonts w:hint="eastAsia"/>
          <w:color w:val="auto"/>
          <w:highlight w:val="none"/>
        </w:rPr>
        <w:t>+3</w:t>
      </w:r>
      <w:r>
        <w:rPr>
          <w:rFonts w:hint="eastAsia"/>
          <w:color w:val="auto"/>
          <w:highlight w:val="none"/>
          <w:lang w:val="en-US" w:eastAsia="zh-CN"/>
        </w:rPr>
        <w:t>6</w:t>
      </w:r>
      <w:r>
        <w:rPr>
          <w:rFonts w:hint="eastAsia"/>
          <w:color w:val="auto"/>
          <w:highlight w:val="none"/>
        </w:rPr>
        <w:t>行。</w:t>
      </w:r>
    </w:p>
    <w:p>
      <w:pPr>
        <w:pStyle w:val="11"/>
        <w:snapToGrid w:val="0"/>
        <w:spacing w:line="360" w:lineRule="auto"/>
        <w:textAlignment w:val="baseline"/>
        <w:rPr>
          <w:rFonts w:cs="Times New Roman"/>
          <w:color w:val="auto"/>
          <w:highlight w:val="none"/>
        </w:rPr>
      </w:pPr>
      <w:r>
        <w:rPr>
          <w:color w:val="auto"/>
          <w:highlight w:val="none"/>
        </w:rPr>
        <w:t>2.</w:t>
      </w:r>
      <w:r>
        <w:rPr>
          <w:rFonts w:hint="eastAsia"/>
          <w:color w:val="auto"/>
          <w:highlight w:val="none"/>
        </w:rPr>
        <w:t>第3</w:t>
      </w:r>
      <w:r>
        <w:rPr>
          <w:rFonts w:hint="eastAsia"/>
          <w:color w:val="auto"/>
          <w:highlight w:val="none"/>
          <w:lang w:val="en-US" w:eastAsia="zh-CN"/>
        </w:rPr>
        <w:t>4</w:t>
      </w:r>
      <w:r>
        <w:rPr>
          <w:rFonts w:hint="eastAsia"/>
          <w:color w:val="auto"/>
          <w:highlight w:val="none"/>
        </w:rPr>
        <w:t>行“总机构分摊应补（退）所得税额”：</w:t>
      </w:r>
      <w:bookmarkStart w:id="7" w:name="_Hlk176861828"/>
      <w:r>
        <w:rPr>
          <w:rFonts w:hint="eastAsia"/>
          <w:color w:val="auto"/>
          <w:highlight w:val="none"/>
        </w:rPr>
        <w:t>填报汇总纳税的总机构按照税收规定在总机构所在地分摊的应补（退）所得税额。同时，在《企业所得税汇总纳税总分机构所得税分配表》（A202000）中填报具体情况。</w:t>
      </w:r>
      <w:bookmarkEnd w:id="7"/>
    </w:p>
    <w:p>
      <w:pPr>
        <w:pStyle w:val="11"/>
        <w:snapToGrid w:val="0"/>
        <w:spacing w:line="360" w:lineRule="auto"/>
        <w:textAlignment w:val="baseline"/>
        <w:rPr>
          <w:rFonts w:cs="Times New Roman"/>
          <w:color w:val="auto"/>
          <w:highlight w:val="none"/>
        </w:rPr>
      </w:pPr>
      <w:r>
        <w:rPr>
          <w:color w:val="auto"/>
          <w:highlight w:val="none"/>
        </w:rPr>
        <w:t>3.</w:t>
      </w:r>
      <w:r>
        <w:rPr>
          <w:rFonts w:hint="eastAsia"/>
          <w:color w:val="auto"/>
          <w:highlight w:val="none"/>
        </w:rPr>
        <w:t>第3</w:t>
      </w:r>
      <w:r>
        <w:rPr>
          <w:rFonts w:hint="eastAsia"/>
          <w:color w:val="auto"/>
          <w:highlight w:val="none"/>
          <w:lang w:val="en-US" w:eastAsia="zh-CN"/>
        </w:rPr>
        <w:t>5</w:t>
      </w:r>
      <w:r>
        <w:rPr>
          <w:rFonts w:hint="eastAsia"/>
          <w:color w:val="auto"/>
          <w:highlight w:val="none"/>
        </w:rPr>
        <w:t>行“财政集中分配应补（退）所得税额”：填报汇总纳税的总机构按照税收规定财政集中分配应补（退）所得税款。同时，在《企业所得税汇总纳税总分机构所得税分配表》（A202000）中填报具体情况。</w:t>
      </w:r>
    </w:p>
    <w:p>
      <w:pPr>
        <w:pStyle w:val="11"/>
        <w:snapToGrid w:val="0"/>
        <w:spacing w:line="360" w:lineRule="auto"/>
        <w:textAlignment w:val="baseline"/>
        <w:rPr>
          <w:rFonts w:cs="Times New Roman"/>
          <w:color w:val="auto"/>
          <w:highlight w:val="none"/>
        </w:rPr>
      </w:pPr>
      <w:r>
        <w:rPr>
          <w:color w:val="auto"/>
          <w:highlight w:val="none"/>
        </w:rPr>
        <w:t>4.</w:t>
      </w:r>
      <w:r>
        <w:rPr>
          <w:rFonts w:hint="eastAsia"/>
          <w:color w:val="auto"/>
          <w:highlight w:val="none"/>
        </w:rPr>
        <w:t>第3</w:t>
      </w:r>
      <w:r>
        <w:rPr>
          <w:rFonts w:hint="eastAsia"/>
          <w:color w:val="auto"/>
          <w:highlight w:val="none"/>
          <w:lang w:val="en-US" w:eastAsia="zh-CN"/>
        </w:rPr>
        <w:t>6</w:t>
      </w:r>
      <w:r>
        <w:rPr>
          <w:rFonts w:hint="eastAsia"/>
          <w:color w:val="auto"/>
          <w:highlight w:val="none"/>
        </w:rPr>
        <w:t>行“</w:t>
      </w:r>
      <w:bookmarkStart w:id="8" w:name="_Hlk176861573"/>
      <w:r>
        <w:rPr>
          <w:rFonts w:hint="eastAsia"/>
          <w:color w:val="auto"/>
          <w:highlight w:val="none"/>
        </w:rPr>
        <w:t>总机构主体生产经营部门分摊应补（退）所得税额</w:t>
      </w:r>
      <w:bookmarkEnd w:id="8"/>
      <w:r>
        <w:rPr>
          <w:rFonts w:hint="eastAsia"/>
          <w:color w:val="auto"/>
          <w:highlight w:val="none"/>
        </w:rPr>
        <w:t>”：填报汇总纳税的总机构所属的具有主体生产经营职能的部门按照税收规定分摊的应补（退）所得税额。同时，在《企业所得税汇总纳税总分机构所得税分配表》（A202000）中填报具体情况。</w:t>
      </w:r>
    </w:p>
    <w:p>
      <w:pPr>
        <w:pStyle w:val="11"/>
        <w:snapToGrid w:val="0"/>
        <w:spacing w:line="360" w:lineRule="auto"/>
        <w:textAlignment w:val="baseline"/>
        <w:rPr>
          <w:rFonts w:cs="Times New Roman"/>
          <w:color w:val="auto"/>
          <w:highlight w:val="none"/>
        </w:rPr>
      </w:pPr>
      <w:r>
        <w:rPr>
          <w:color w:val="auto"/>
          <w:highlight w:val="none"/>
        </w:rPr>
        <w:t>5.</w:t>
      </w:r>
      <w:r>
        <w:rPr>
          <w:rFonts w:hint="eastAsia"/>
          <w:color w:val="auto"/>
          <w:highlight w:val="none"/>
        </w:rPr>
        <w:t>第3</w:t>
      </w:r>
      <w:r>
        <w:rPr>
          <w:rFonts w:hint="eastAsia"/>
          <w:color w:val="auto"/>
          <w:highlight w:val="none"/>
          <w:lang w:val="en-US" w:eastAsia="zh-CN"/>
        </w:rPr>
        <w:t>7</w:t>
      </w:r>
      <w:r>
        <w:rPr>
          <w:rFonts w:hint="eastAsia"/>
          <w:color w:val="auto"/>
          <w:highlight w:val="none"/>
        </w:rPr>
        <w:t>行“分支机构本期分摊比例”：跨地区经营汇总纳税企业分支机构填报其总机构出具的本期《企业所得税汇总纳税分支机构所得税分配表》“分摊比例”列次中列示的本分支机构的分摊比例。</w:t>
      </w:r>
    </w:p>
    <w:p>
      <w:pPr>
        <w:pStyle w:val="11"/>
        <w:snapToGrid w:val="0"/>
        <w:spacing w:line="360" w:lineRule="auto"/>
        <w:textAlignment w:val="baseline"/>
        <w:rPr>
          <w:rFonts w:cs="Times New Roman"/>
          <w:color w:val="auto"/>
          <w:highlight w:val="none"/>
        </w:rPr>
      </w:pPr>
      <w:r>
        <w:rPr>
          <w:color w:val="auto"/>
          <w:highlight w:val="none"/>
        </w:rPr>
        <w:t>6.</w:t>
      </w:r>
      <w:r>
        <w:rPr>
          <w:rFonts w:hint="eastAsia"/>
          <w:color w:val="auto"/>
          <w:highlight w:val="none"/>
        </w:rPr>
        <w:t>第3</w:t>
      </w:r>
      <w:r>
        <w:rPr>
          <w:rFonts w:hint="eastAsia"/>
          <w:color w:val="auto"/>
          <w:highlight w:val="none"/>
          <w:lang w:val="en-US" w:eastAsia="zh-CN"/>
        </w:rPr>
        <w:t>8</w:t>
      </w:r>
      <w:r>
        <w:rPr>
          <w:rFonts w:hint="eastAsia"/>
          <w:color w:val="auto"/>
          <w:highlight w:val="none"/>
        </w:rPr>
        <w:t>行“分支机构本期分摊应补（退）所得税额”：跨地区经营汇总纳税企业分支机构填报其总机构出具的本期《企业所得税汇总纳税分支机构所得税分配表》“分摊应补（退）所得税额”列次中列示的本分支机构分摊的所得税额。</w:t>
      </w:r>
    </w:p>
    <w:p>
      <w:pPr>
        <w:pStyle w:val="12"/>
        <w:snapToGrid w:val="0"/>
        <w:spacing w:line="360" w:lineRule="auto"/>
        <w:textAlignment w:val="baseline"/>
        <w:rPr>
          <w:rFonts w:ascii="黑体" w:hAnsi="黑体" w:eastAsia="黑体"/>
          <w:color w:val="auto"/>
          <w:highlight w:val="none"/>
        </w:rPr>
      </w:pPr>
      <w:r>
        <w:rPr>
          <w:rFonts w:hint="eastAsia" w:ascii="黑体" w:hAnsi="黑体" w:eastAsia="黑体"/>
          <w:color w:val="auto"/>
          <w:highlight w:val="none"/>
        </w:rPr>
        <w:t>六、实际缴纳企业所得税</w:t>
      </w:r>
    </w:p>
    <w:p>
      <w:pPr>
        <w:pStyle w:val="11"/>
        <w:snapToGrid w:val="0"/>
        <w:spacing w:line="360" w:lineRule="auto"/>
        <w:textAlignment w:val="baseline"/>
        <w:rPr>
          <w:color w:val="auto"/>
          <w:highlight w:val="none"/>
        </w:rPr>
      </w:pPr>
      <w:r>
        <w:rPr>
          <w:rFonts w:hint="eastAsia"/>
          <w:color w:val="auto"/>
          <w:highlight w:val="none"/>
        </w:rPr>
        <w:t>适用于</w:t>
      </w:r>
      <w:r>
        <w:rPr>
          <w:color w:val="auto"/>
          <w:highlight w:val="none"/>
        </w:rPr>
        <w:t>民族自治地区纳税人</w:t>
      </w:r>
      <w:r>
        <w:rPr>
          <w:rFonts w:hint="eastAsia"/>
          <w:color w:val="auto"/>
          <w:highlight w:val="none"/>
        </w:rPr>
        <w:t>填报。</w:t>
      </w:r>
    </w:p>
    <w:p>
      <w:pPr>
        <w:pStyle w:val="11"/>
        <w:snapToGrid w:val="0"/>
        <w:spacing w:line="360" w:lineRule="auto"/>
        <w:textAlignment w:val="baseline"/>
        <w:rPr>
          <w:color w:val="auto"/>
          <w:highlight w:val="none"/>
        </w:rPr>
      </w:pPr>
      <w:r>
        <w:rPr>
          <w:rFonts w:hint="eastAsia"/>
          <w:color w:val="auto"/>
          <w:highlight w:val="none"/>
        </w:rPr>
        <w:t>1</w:t>
      </w:r>
      <w:r>
        <w:rPr>
          <w:color w:val="auto"/>
          <w:highlight w:val="none"/>
        </w:rPr>
        <w:t>.</w:t>
      </w:r>
      <w:r>
        <w:rPr>
          <w:rFonts w:hint="eastAsia"/>
          <w:color w:val="auto"/>
          <w:highlight w:val="none"/>
        </w:rPr>
        <w:t>第</w:t>
      </w:r>
      <w:r>
        <w:rPr>
          <w:rFonts w:hint="eastAsia"/>
          <w:color w:val="auto"/>
          <w:highlight w:val="none"/>
          <w:lang w:val="en-US" w:eastAsia="zh-CN"/>
        </w:rPr>
        <w:t>39</w:t>
      </w:r>
      <w:r>
        <w:rPr>
          <w:rFonts w:hint="eastAsia"/>
          <w:color w:val="auto"/>
          <w:highlight w:val="none"/>
        </w:rPr>
        <w:t>行“民族自治</w:t>
      </w:r>
      <w:r>
        <w:rPr>
          <w:rFonts w:hint="eastAsia"/>
          <w:color w:val="auto"/>
          <w:highlight w:val="none"/>
          <w:lang w:eastAsia="zh-CN"/>
        </w:rPr>
        <w:t>地区企业所得税</w:t>
      </w:r>
      <w:r>
        <w:rPr>
          <w:rFonts w:hint="eastAsia"/>
          <w:color w:val="auto"/>
          <w:highlight w:val="none"/>
        </w:rPr>
        <w:t>地方分享</w:t>
      </w:r>
      <w:r>
        <w:rPr>
          <w:rFonts w:hint="eastAsia"/>
          <w:color w:val="auto"/>
          <w:highlight w:val="none"/>
          <w:lang w:eastAsia="zh-CN"/>
        </w:rPr>
        <w:t>部分（</w:t>
      </w:r>
      <w:r>
        <w:rPr>
          <w:rFonts w:hint="eastAsia"/>
          <w:color w:val="auto"/>
          <w:highlight w:val="none"/>
        </w:rPr>
        <w:t>□ 免征 □ 减征</w:t>
      </w:r>
      <w:r>
        <w:rPr>
          <w:color w:val="auto"/>
          <w:highlight w:val="none"/>
        </w:rPr>
        <w:t>:</w:t>
      </w:r>
      <w:r>
        <w:rPr>
          <w:rFonts w:hint="eastAsia"/>
          <w:color w:val="auto"/>
          <w:highlight w:val="none"/>
        </w:rPr>
        <w:t>减征幅度</w:t>
      </w:r>
      <w:r>
        <w:rPr>
          <w:color w:val="auto"/>
          <w:highlight w:val="none"/>
        </w:rPr>
        <w:t>____%</w:t>
      </w:r>
      <w:r>
        <w:rPr>
          <w:rFonts w:hint="eastAsia"/>
          <w:color w:val="auto"/>
          <w:highlight w:val="none"/>
        </w:rPr>
        <w:t>）”：</w:t>
      </w:r>
      <w:r>
        <w:rPr>
          <w:rFonts w:hint="eastAsia"/>
          <w:color w:val="auto"/>
          <w:highlight w:val="none"/>
          <w:lang w:eastAsia="zh-CN"/>
        </w:rPr>
        <w:t>根据有关规定，</w:t>
      </w:r>
      <w:r>
        <w:rPr>
          <w:rFonts w:hint="eastAsia"/>
          <w:color w:val="auto"/>
          <w:highlight w:val="none"/>
        </w:rPr>
        <w:t>实行民族区域自治的自治区、自治州、自治县的自治机关对本民族自治地方的企业应缴纳的企业所得税中属于地方分享的部分，可以决定免征或减征，自治州、自治县决定减征或者免征的，须报省、自治区、直辖市人民政府批准。</w:t>
      </w:r>
    </w:p>
    <w:p>
      <w:pPr>
        <w:pStyle w:val="11"/>
        <w:snapToGrid w:val="0"/>
        <w:spacing w:line="360" w:lineRule="auto"/>
        <w:textAlignment w:val="baseline"/>
        <w:rPr>
          <w:color w:val="auto"/>
          <w:highlight w:val="none"/>
        </w:rPr>
      </w:pPr>
      <w:r>
        <w:rPr>
          <w:rFonts w:hint="eastAsia"/>
          <w:color w:val="auto"/>
          <w:highlight w:val="none"/>
        </w:rPr>
        <w:t>纳税人填报该行次时，根据享受政策的类型选择“免征”或“减征”，二者必选其一。选择“免征”是指免征企业所得税税收地方分享部分；选择“减征</w:t>
      </w:r>
      <w:r>
        <w:rPr>
          <w:color w:val="auto"/>
          <w:highlight w:val="none"/>
        </w:rPr>
        <w:t>:</w:t>
      </w:r>
      <w:r>
        <w:rPr>
          <w:rFonts w:hint="eastAsia"/>
          <w:color w:val="auto"/>
          <w:highlight w:val="none"/>
        </w:rPr>
        <w:t>减征幅度</w:t>
      </w:r>
      <w:r>
        <w:rPr>
          <w:color w:val="auto"/>
          <w:highlight w:val="none"/>
        </w:rPr>
        <w:t>____%</w:t>
      </w:r>
      <w:r>
        <w:rPr>
          <w:rFonts w:hint="eastAsia"/>
          <w:color w:val="auto"/>
          <w:highlight w:val="none"/>
        </w:rPr>
        <w:t>”是指减征企业所得税税收地方分享部分，此时需填写“减征幅度”，减征幅度填写范围为</w:t>
      </w:r>
      <w:r>
        <w:rPr>
          <w:color w:val="auto"/>
          <w:highlight w:val="none"/>
        </w:rPr>
        <w:t>1</w:t>
      </w:r>
      <w:r>
        <w:rPr>
          <w:rFonts w:hint="eastAsia"/>
          <w:color w:val="auto"/>
          <w:highlight w:val="none"/>
        </w:rPr>
        <w:t>至</w:t>
      </w:r>
      <w:r>
        <w:rPr>
          <w:color w:val="auto"/>
          <w:highlight w:val="none"/>
        </w:rPr>
        <w:t>100</w:t>
      </w:r>
      <w:r>
        <w:rPr>
          <w:rFonts w:hint="eastAsia"/>
          <w:color w:val="auto"/>
          <w:highlight w:val="none"/>
        </w:rPr>
        <w:t>，表示企业所得税税收地方分享部分的减征比例。例如：地方分享部分减半征收，则选择“减征”，并在“减征幅度”后填写“</w:t>
      </w:r>
      <w:r>
        <w:rPr>
          <w:color w:val="auto"/>
          <w:highlight w:val="none"/>
        </w:rPr>
        <w:t>50%</w:t>
      </w:r>
      <w:r>
        <w:rPr>
          <w:rFonts w:hint="eastAsia"/>
          <w:color w:val="auto"/>
          <w:highlight w:val="none"/>
        </w:rPr>
        <w:t>”。</w:t>
      </w:r>
    </w:p>
    <w:p>
      <w:pPr>
        <w:pStyle w:val="11"/>
        <w:snapToGrid w:val="0"/>
        <w:spacing w:line="360" w:lineRule="auto"/>
        <w:textAlignment w:val="baseline"/>
        <w:rPr>
          <w:color w:val="auto"/>
          <w:highlight w:val="none"/>
        </w:rPr>
      </w:pPr>
      <w:r>
        <w:rPr>
          <w:rFonts w:hint="eastAsia"/>
          <w:color w:val="auto"/>
          <w:highlight w:val="none"/>
        </w:rPr>
        <w:t>本行填报纳税人按照规定享受的民族自治地方的自治机关对本民族自治地方的企业应缴纳的企业所得税中属于地方分享的部分减征或免征额的金额。</w:t>
      </w:r>
    </w:p>
    <w:p>
      <w:pPr>
        <w:pStyle w:val="11"/>
        <w:snapToGrid w:val="0"/>
        <w:spacing w:line="360" w:lineRule="auto"/>
        <w:textAlignment w:val="baseline"/>
        <w:rPr>
          <w:color w:val="auto"/>
          <w:highlight w:val="none"/>
        </w:rPr>
      </w:pPr>
      <w:r>
        <w:rPr>
          <w:color w:val="auto"/>
          <w:highlight w:val="none"/>
        </w:rPr>
        <w:t>2.</w:t>
      </w:r>
      <w:r>
        <w:rPr>
          <w:rFonts w:hint="eastAsia"/>
          <w:color w:val="auto"/>
          <w:highlight w:val="none"/>
        </w:rPr>
        <w:t>第</w:t>
      </w:r>
      <w:r>
        <w:rPr>
          <w:rFonts w:hint="eastAsia"/>
          <w:color w:val="auto"/>
          <w:highlight w:val="none"/>
          <w:lang w:val="en-US" w:eastAsia="zh-CN"/>
        </w:rPr>
        <w:t>40</w:t>
      </w:r>
      <w:r>
        <w:rPr>
          <w:rFonts w:hint="eastAsia"/>
          <w:color w:val="auto"/>
          <w:highlight w:val="none"/>
        </w:rPr>
        <w:t>行“本期实际应补（退）所得税额”：本行填报民族自治地区纳税人本期实际应补（退）所得税额。</w:t>
      </w:r>
    </w:p>
    <w:p>
      <w:pPr>
        <w:pStyle w:val="10"/>
        <w:snapToGrid w:val="0"/>
        <w:spacing w:line="360" w:lineRule="auto"/>
        <w:textAlignment w:val="baseline"/>
        <w:rPr>
          <w:rFonts w:cs="Times New Roman"/>
          <w:color w:val="auto"/>
          <w:highlight w:val="none"/>
        </w:rPr>
      </w:pPr>
      <w:r>
        <w:rPr>
          <w:rFonts w:hint="eastAsia"/>
          <w:color w:val="auto"/>
          <w:highlight w:val="none"/>
        </w:rPr>
        <w:t>七、表内表间关系</w:t>
      </w:r>
    </w:p>
    <w:p>
      <w:pPr>
        <w:pStyle w:val="11"/>
        <w:spacing w:line="360" w:lineRule="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（一）表内关系</w:t>
      </w:r>
    </w:p>
    <w:p>
      <w:pPr>
        <w:pStyle w:val="11"/>
        <w:spacing w:line="360" w:lineRule="auto"/>
        <w:rPr>
          <w:rFonts w:hint="eastAsia"/>
          <w:color w:val="auto"/>
          <w:highlight w:val="none"/>
        </w:rPr>
      </w:pPr>
      <w:r>
        <w:rPr>
          <w:rFonts w:hint="eastAsia"/>
          <w:color w:val="auto"/>
          <w:highlight w:val="none"/>
        </w:rPr>
        <w:t>1.第</w:t>
      </w:r>
      <w:r>
        <w:rPr>
          <w:rFonts w:hint="eastAsia"/>
          <w:color w:val="auto"/>
          <w:highlight w:val="none"/>
          <w:lang w:val="en-US" w:eastAsia="zh-CN"/>
        </w:rPr>
        <w:t>9</w:t>
      </w:r>
      <w:r>
        <w:rPr>
          <w:rFonts w:hint="eastAsia"/>
          <w:color w:val="auto"/>
          <w:highlight w:val="none"/>
        </w:rPr>
        <w:t>行＝第</w:t>
      </w:r>
      <w:r>
        <w:rPr>
          <w:rFonts w:hint="eastAsia"/>
          <w:color w:val="auto"/>
          <w:highlight w:val="none"/>
          <w:lang w:val="en-US" w:eastAsia="zh-CN"/>
        </w:rPr>
        <w:t>9</w:t>
      </w:r>
      <w:r>
        <w:rPr>
          <w:rFonts w:hint="eastAsia"/>
          <w:color w:val="auto"/>
          <w:highlight w:val="none"/>
        </w:rPr>
        <w:t>.1+</w:t>
      </w:r>
      <w:r>
        <w:rPr>
          <w:rFonts w:hint="eastAsia"/>
          <w:color w:val="auto"/>
          <w:highlight w:val="none"/>
          <w:lang w:val="en-US" w:eastAsia="zh-CN"/>
        </w:rPr>
        <w:t>9</w:t>
      </w:r>
      <w:r>
        <w:rPr>
          <w:rFonts w:hint="eastAsia"/>
          <w:color w:val="auto"/>
          <w:highlight w:val="none"/>
        </w:rPr>
        <w:t>.2+…行。</w:t>
      </w:r>
    </w:p>
    <w:p>
      <w:pPr>
        <w:pStyle w:val="11"/>
        <w:spacing w:line="360" w:lineRule="auto"/>
        <w:rPr>
          <w:rFonts w:hint="default" w:eastAsia="宋体"/>
          <w:color w:val="auto"/>
          <w:highlight w:val="none"/>
          <w:lang w:val="en-US" w:eastAsia="zh-CN"/>
        </w:rPr>
      </w:pPr>
      <w:r>
        <w:rPr>
          <w:rFonts w:hint="eastAsia"/>
          <w:color w:val="auto"/>
          <w:highlight w:val="none"/>
          <w:lang w:val="en-US" w:eastAsia="zh-CN"/>
        </w:rPr>
        <w:t>2.</w:t>
      </w:r>
      <w:r>
        <w:rPr>
          <w:rFonts w:hint="eastAsia"/>
          <w:color w:val="auto"/>
          <w:highlight w:val="none"/>
        </w:rPr>
        <w:t>第</w:t>
      </w:r>
      <w:r>
        <w:rPr>
          <w:rFonts w:hint="eastAsia"/>
          <w:color w:val="auto"/>
          <w:highlight w:val="none"/>
          <w:lang w:val="en-US" w:eastAsia="zh-CN"/>
        </w:rPr>
        <w:t>18</w:t>
      </w:r>
      <w:r>
        <w:rPr>
          <w:rFonts w:hint="eastAsia"/>
          <w:color w:val="auto"/>
          <w:highlight w:val="none"/>
        </w:rPr>
        <w:t>行＝第</w:t>
      </w:r>
      <w:r>
        <w:rPr>
          <w:rFonts w:hint="eastAsia"/>
          <w:color w:val="auto"/>
          <w:highlight w:val="none"/>
          <w:lang w:val="en-US" w:eastAsia="zh-CN"/>
        </w:rPr>
        <w:t>15</w:t>
      </w:r>
      <w:r>
        <w:rPr>
          <w:rFonts w:hint="eastAsia"/>
          <w:color w:val="auto"/>
          <w:highlight w:val="none"/>
        </w:rPr>
        <w:t>+</w:t>
      </w:r>
      <w:r>
        <w:rPr>
          <w:rFonts w:hint="eastAsia"/>
          <w:color w:val="auto"/>
          <w:highlight w:val="none"/>
          <w:lang w:val="en-US" w:eastAsia="zh-CN"/>
        </w:rPr>
        <w:t>16-17行</w:t>
      </w:r>
      <w:r>
        <w:rPr>
          <w:rFonts w:hint="eastAsia"/>
          <w:color w:val="auto"/>
          <w:highlight w:val="none"/>
        </w:rPr>
        <w:t>。</w:t>
      </w:r>
    </w:p>
    <w:p>
      <w:pPr>
        <w:pStyle w:val="11"/>
        <w:spacing w:line="360" w:lineRule="auto"/>
        <w:rPr>
          <w:rFonts w:cs="Times New Roman"/>
          <w:color w:val="auto"/>
          <w:highlight w:val="none"/>
        </w:rPr>
      </w:pPr>
      <w:r>
        <w:rPr>
          <w:rFonts w:hint="eastAsia"/>
          <w:color w:val="auto"/>
          <w:highlight w:val="none"/>
          <w:lang w:val="en-US" w:eastAsia="zh-CN"/>
        </w:rPr>
        <w:t>3</w:t>
      </w:r>
      <w:r>
        <w:rPr>
          <w:color w:val="auto"/>
          <w:highlight w:val="none"/>
        </w:rPr>
        <w:t>.</w:t>
      </w:r>
      <w:r>
        <w:rPr>
          <w:rFonts w:hint="eastAsia"/>
          <w:color w:val="auto"/>
          <w:highlight w:val="none"/>
        </w:rPr>
        <w:t>第</w:t>
      </w:r>
      <w:r>
        <w:rPr>
          <w:rFonts w:hint="eastAsia"/>
          <w:color w:val="auto"/>
          <w:highlight w:val="none"/>
          <w:lang w:val="en-US" w:eastAsia="zh-CN"/>
        </w:rPr>
        <w:t>22</w:t>
      </w:r>
      <w:r>
        <w:rPr>
          <w:rFonts w:hint="eastAsia"/>
          <w:color w:val="auto"/>
          <w:highlight w:val="none"/>
        </w:rPr>
        <w:t>行＝第</w:t>
      </w:r>
      <w:r>
        <w:rPr>
          <w:rFonts w:hint="eastAsia"/>
          <w:color w:val="auto"/>
          <w:highlight w:val="none"/>
          <w:lang w:val="en-US" w:eastAsia="zh-CN"/>
        </w:rPr>
        <w:t>22</w:t>
      </w:r>
      <w:r>
        <w:rPr>
          <w:rFonts w:hint="eastAsia"/>
          <w:color w:val="auto"/>
          <w:highlight w:val="none"/>
        </w:rPr>
        <w:t>.1+</w:t>
      </w:r>
      <w:r>
        <w:rPr>
          <w:rFonts w:hint="eastAsia"/>
          <w:color w:val="auto"/>
          <w:highlight w:val="none"/>
          <w:lang w:val="en-US" w:eastAsia="zh-CN"/>
        </w:rPr>
        <w:t>22</w:t>
      </w:r>
      <w:r>
        <w:rPr>
          <w:rFonts w:hint="eastAsia"/>
          <w:color w:val="auto"/>
          <w:highlight w:val="none"/>
        </w:rPr>
        <w:t>.2+…行。</w:t>
      </w:r>
    </w:p>
    <w:p>
      <w:pPr>
        <w:pStyle w:val="11"/>
        <w:spacing w:line="360" w:lineRule="auto"/>
        <w:rPr>
          <w:rFonts w:cs="Times New Roman"/>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rPr>
        <w:t>第</w:t>
      </w:r>
      <w:r>
        <w:rPr>
          <w:rFonts w:hint="eastAsia"/>
          <w:color w:val="auto"/>
          <w:highlight w:val="none"/>
          <w:lang w:val="en-US" w:eastAsia="zh-CN"/>
        </w:rPr>
        <w:t>23</w:t>
      </w:r>
      <w:r>
        <w:rPr>
          <w:rFonts w:hint="eastAsia"/>
          <w:color w:val="auto"/>
          <w:highlight w:val="none"/>
        </w:rPr>
        <w:t>行＝第</w:t>
      </w:r>
      <w:r>
        <w:rPr>
          <w:rFonts w:hint="eastAsia"/>
          <w:color w:val="auto"/>
          <w:highlight w:val="none"/>
          <w:lang w:val="en-US" w:eastAsia="zh-CN"/>
        </w:rPr>
        <w:t>23</w:t>
      </w:r>
      <w:r>
        <w:rPr>
          <w:rFonts w:hint="eastAsia"/>
          <w:color w:val="auto"/>
          <w:highlight w:val="none"/>
        </w:rPr>
        <w:t>.1+</w:t>
      </w:r>
      <w:r>
        <w:rPr>
          <w:rFonts w:hint="eastAsia"/>
          <w:color w:val="auto"/>
          <w:highlight w:val="none"/>
          <w:lang w:val="en-US" w:eastAsia="zh-CN"/>
        </w:rPr>
        <w:t>23</w:t>
      </w:r>
      <w:r>
        <w:rPr>
          <w:rFonts w:hint="eastAsia"/>
          <w:color w:val="auto"/>
          <w:highlight w:val="none"/>
        </w:rPr>
        <w:t>.2+…行。</w:t>
      </w:r>
    </w:p>
    <w:p>
      <w:pPr>
        <w:pStyle w:val="11"/>
        <w:snapToGrid w:val="0"/>
        <w:spacing w:line="360" w:lineRule="auto"/>
        <w:textAlignment w:val="baseline"/>
        <w:rPr>
          <w:color w:val="auto"/>
          <w:highlight w:val="none"/>
        </w:rPr>
      </w:pPr>
      <w:r>
        <w:rPr>
          <w:rFonts w:hint="eastAsia"/>
          <w:color w:val="auto"/>
          <w:highlight w:val="none"/>
          <w:lang w:val="en-US" w:eastAsia="zh-CN"/>
        </w:rPr>
        <w:t>5</w:t>
      </w:r>
      <w:r>
        <w:rPr>
          <w:color w:val="auto"/>
          <w:highlight w:val="none"/>
        </w:rPr>
        <w:t>.</w:t>
      </w:r>
      <w:r>
        <w:rPr>
          <w:rFonts w:hint="eastAsia"/>
          <w:color w:val="auto"/>
          <w:highlight w:val="none"/>
        </w:rPr>
        <w:t>预缴方式为“按照实际利润额预缴”的纳税人，第2</w:t>
      </w:r>
      <w:r>
        <w:rPr>
          <w:rFonts w:hint="eastAsia"/>
          <w:color w:val="auto"/>
          <w:highlight w:val="none"/>
          <w:lang w:val="en-US" w:eastAsia="zh-CN"/>
        </w:rPr>
        <w:t>5</w:t>
      </w:r>
      <w:r>
        <w:rPr>
          <w:rFonts w:hint="eastAsia"/>
          <w:color w:val="auto"/>
          <w:highlight w:val="none"/>
        </w:rPr>
        <w:t>行＝第1</w:t>
      </w:r>
      <w:r>
        <w:rPr>
          <w:rFonts w:hint="eastAsia"/>
          <w:color w:val="auto"/>
          <w:highlight w:val="none"/>
          <w:lang w:val="en-US" w:eastAsia="zh-CN"/>
        </w:rPr>
        <w:t>8</w:t>
      </w:r>
      <w:r>
        <w:rPr>
          <w:color w:val="auto"/>
          <w:highlight w:val="none"/>
        </w:rPr>
        <w:t>+</w:t>
      </w:r>
      <w:r>
        <w:rPr>
          <w:rFonts w:hint="eastAsia"/>
          <w:color w:val="auto"/>
          <w:highlight w:val="none"/>
        </w:rPr>
        <w:t>1</w:t>
      </w:r>
      <w:r>
        <w:rPr>
          <w:rFonts w:hint="eastAsia"/>
          <w:color w:val="auto"/>
          <w:highlight w:val="none"/>
          <w:lang w:val="en-US" w:eastAsia="zh-CN"/>
        </w:rPr>
        <w:t>9</w:t>
      </w:r>
      <w:r>
        <w:rPr>
          <w:color w:val="auto"/>
          <w:highlight w:val="none"/>
        </w:rPr>
        <w:t>-</w:t>
      </w:r>
      <w:r>
        <w:rPr>
          <w:rFonts w:hint="eastAsia"/>
          <w:color w:val="auto"/>
          <w:highlight w:val="none"/>
          <w:lang w:val="en-US" w:eastAsia="zh-CN"/>
        </w:rPr>
        <w:t>20</w:t>
      </w:r>
      <w:r>
        <w:rPr>
          <w:color w:val="auto"/>
          <w:highlight w:val="none"/>
        </w:rPr>
        <w:t>-</w:t>
      </w:r>
      <w:r>
        <w:rPr>
          <w:rFonts w:hint="eastAsia"/>
          <w:color w:val="auto"/>
          <w:highlight w:val="none"/>
          <w:lang w:val="en-US" w:eastAsia="zh-CN"/>
        </w:rPr>
        <w:t>21</w:t>
      </w:r>
      <w:r>
        <w:rPr>
          <w:color w:val="auto"/>
          <w:highlight w:val="none"/>
        </w:rPr>
        <w:t>-</w:t>
      </w:r>
      <w:r>
        <w:rPr>
          <w:rFonts w:hint="eastAsia"/>
          <w:color w:val="auto"/>
          <w:highlight w:val="none"/>
          <w:lang w:val="en-US" w:eastAsia="zh-CN"/>
        </w:rPr>
        <w:t>22</w:t>
      </w:r>
      <w:r>
        <w:rPr>
          <w:rFonts w:hint="eastAsia"/>
          <w:color w:val="auto"/>
          <w:highlight w:val="none"/>
        </w:rPr>
        <w:t>-</w:t>
      </w:r>
      <w:r>
        <w:rPr>
          <w:rFonts w:hint="eastAsia"/>
          <w:color w:val="auto"/>
          <w:highlight w:val="none"/>
          <w:lang w:val="en-US" w:eastAsia="zh-CN"/>
        </w:rPr>
        <w:t>23</w:t>
      </w:r>
      <w:r>
        <w:rPr>
          <w:rFonts w:hint="eastAsia"/>
          <w:color w:val="auto"/>
          <w:highlight w:val="none"/>
        </w:rPr>
        <w:t>-</w:t>
      </w:r>
      <w:r>
        <w:rPr>
          <w:rFonts w:hint="eastAsia"/>
          <w:color w:val="auto"/>
          <w:highlight w:val="none"/>
          <w:lang w:val="en-US" w:eastAsia="zh-CN"/>
        </w:rPr>
        <w:t>24</w:t>
      </w:r>
      <w:r>
        <w:rPr>
          <w:rFonts w:hint="eastAsia"/>
          <w:color w:val="auto"/>
          <w:highlight w:val="none"/>
        </w:rPr>
        <w:t>行。</w:t>
      </w:r>
    </w:p>
    <w:p>
      <w:pPr>
        <w:pStyle w:val="11"/>
        <w:snapToGrid w:val="0"/>
        <w:spacing w:line="360" w:lineRule="auto"/>
        <w:textAlignment w:val="baseline"/>
        <w:rPr>
          <w:color w:val="auto"/>
          <w:highlight w:val="none"/>
        </w:rPr>
      </w:pPr>
      <w:r>
        <w:rPr>
          <w:rFonts w:hint="eastAsia"/>
          <w:color w:val="auto"/>
          <w:highlight w:val="none"/>
          <w:lang w:val="en-US" w:eastAsia="zh-CN"/>
        </w:rPr>
        <w:t>6</w:t>
      </w:r>
      <w:r>
        <w:rPr>
          <w:color w:val="auto"/>
          <w:highlight w:val="none"/>
        </w:rPr>
        <w:t>.</w:t>
      </w:r>
      <w:r>
        <w:rPr>
          <w:rFonts w:hint="eastAsia"/>
          <w:color w:val="auto"/>
          <w:highlight w:val="none"/>
        </w:rPr>
        <w:t>第2</w:t>
      </w:r>
      <w:r>
        <w:rPr>
          <w:rFonts w:hint="eastAsia"/>
          <w:color w:val="auto"/>
          <w:highlight w:val="none"/>
          <w:lang w:val="en-US" w:eastAsia="zh-CN"/>
        </w:rPr>
        <w:t>7</w:t>
      </w:r>
      <w:r>
        <w:rPr>
          <w:rFonts w:hint="eastAsia"/>
          <w:color w:val="auto"/>
          <w:highlight w:val="none"/>
        </w:rPr>
        <w:t>行＝第2</w:t>
      </w:r>
      <w:r>
        <w:rPr>
          <w:rFonts w:hint="eastAsia"/>
          <w:color w:val="auto"/>
          <w:highlight w:val="none"/>
          <w:lang w:val="en-US" w:eastAsia="zh-CN"/>
        </w:rPr>
        <w:t>5</w:t>
      </w:r>
      <w:r>
        <w:rPr>
          <w:rFonts w:hint="eastAsia"/>
          <w:color w:val="auto"/>
          <w:highlight w:val="none"/>
        </w:rPr>
        <w:t>×2</w:t>
      </w:r>
      <w:r>
        <w:rPr>
          <w:rFonts w:hint="eastAsia"/>
          <w:color w:val="auto"/>
          <w:highlight w:val="none"/>
          <w:lang w:val="en-US" w:eastAsia="zh-CN"/>
        </w:rPr>
        <w:t>6</w:t>
      </w:r>
      <w:r>
        <w:rPr>
          <w:rFonts w:hint="eastAsia"/>
          <w:color w:val="auto"/>
          <w:highlight w:val="none"/>
        </w:rPr>
        <w:t>行。</w:t>
      </w:r>
    </w:p>
    <w:p>
      <w:pPr>
        <w:pStyle w:val="11"/>
        <w:snapToGrid w:val="0"/>
        <w:spacing w:line="360" w:lineRule="auto"/>
        <w:textAlignment w:val="baseline"/>
        <w:rPr>
          <w:rFonts w:hint="eastAsia"/>
          <w:color w:val="auto"/>
          <w:highlight w:val="none"/>
          <w:lang w:eastAsia="zh-CN"/>
        </w:rPr>
      </w:pPr>
      <w:r>
        <w:rPr>
          <w:rFonts w:hint="eastAsia"/>
          <w:color w:val="auto"/>
          <w:highlight w:val="none"/>
          <w:lang w:val="en-US" w:eastAsia="zh-CN"/>
        </w:rPr>
        <w:t>7</w:t>
      </w:r>
      <w:r>
        <w:rPr>
          <w:rFonts w:hint="eastAsia"/>
          <w:color w:val="auto"/>
          <w:highlight w:val="none"/>
        </w:rPr>
        <w:t>.第2</w:t>
      </w:r>
      <w:r>
        <w:rPr>
          <w:rFonts w:hint="eastAsia"/>
          <w:color w:val="auto"/>
          <w:highlight w:val="none"/>
          <w:lang w:val="en-US" w:eastAsia="zh-CN"/>
        </w:rPr>
        <w:t>8</w:t>
      </w:r>
      <w:r>
        <w:rPr>
          <w:rFonts w:hint="eastAsia"/>
          <w:color w:val="auto"/>
          <w:highlight w:val="none"/>
        </w:rPr>
        <w:t>行＝第2</w:t>
      </w:r>
      <w:r>
        <w:rPr>
          <w:rFonts w:hint="eastAsia"/>
          <w:color w:val="auto"/>
          <w:highlight w:val="none"/>
          <w:lang w:val="en-US" w:eastAsia="zh-CN"/>
        </w:rPr>
        <w:t>8</w:t>
      </w:r>
      <w:r>
        <w:rPr>
          <w:rFonts w:hint="eastAsia"/>
          <w:color w:val="auto"/>
          <w:highlight w:val="none"/>
        </w:rPr>
        <w:t>.1+2</w:t>
      </w:r>
      <w:r>
        <w:rPr>
          <w:rFonts w:hint="eastAsia"/>
          <w:color w:val="auto"/>
          <w:highlight w:val="none"/>
          <w:lang w:val="en-US" w:eastAsia="zh-CN"/>
        </w:rPr>
        <w:t>8</w:t>
      </w:r>
      <w:r>
        <w:rPr>
          <w:rFonts w:hint="eastAsia"/>
          <w:color w:val="auto"/>
          <w:highlight w:val="none"/>
        </w:rPr>
        <w:t>.2+…行</w:t>
      </w:r>
      <w:r>
        <w:rPr>
          <w:rFonts w:hint="eastAsia"/>
          <w:color w:val="auto"/>
          <w:highlight w:val="none"/>
          <w:lang w:eastAsia="zh-CN"/>
        </w:rPr>
        <w:t>。</w:t>
      </w:r>
    </w:p>
    <w:p>
      <w:pPr>
        <w:pStyle w:val="11"/>
        <w:spacing w:line="360" w:lineRule="auto"/>
        <w:rPr>
          <w:rFonts w:cs="Times New Roman"/>
          <w:color w:val="auto"/>
          <w:highlight w:val="none"/>
        </w:rPr>
      </w:pPr>
      <w:r>
        <w:rPr>
          <w:rFonts w:hint="eastAsia"/>
          <w:color w:val="auto"/>
          <w:highlight w:val="none"/>
          <w:lang w:val="en-US" w:eastAsia="zh"/>
        </w:rPr>
        <w:t>8</w:t>
      </w:r>
      <w:r>
        <w:rPr>
          <w:color w:val="auto"/>
          <w:highlight w:val="none"/>
        </w:rPr>
        <w:t>.</w:t>
      </w:r>
      <w:r>
        <w:rPr>
          <w:rFonts w:hint="eastAsia"/>
          <w:color w:val="auto"/>
          <w:highlight w:val="none"/>
        </w:rPr>
        <w:t>预缴方式为“按照实际利润额预缴”“按照上一纳税年度应纳税所得额平均额预缴”的纳税人，第</w:t>
      </w:r>
      <w:r>
        <w:rPr>
          <w:rFonts w:hint="eastAsia"/>
          <w:color w:val="auto"/>
          <w:highlight w:val="none"/>
          <w:lang w:val="en-US" w:eastAsia="zh-CN"/>
        </w:rPr>
        <w:t>32</w:t>
      </w:r>
      <w:r>
        <w:rPr>
          <w:rFonts w:hint="eastAsia"/>
          <w:color w:val="auto"/>
          <w:highlight w:val="none"/>
        </w:rPr>
        <w:t>行＝第</w:t>
      </w:r>
      <w:r>
        <w:rPr>
          <w:rFonts w:hint="eastAsia"/>
          <w:color w:val="auto"/>
          <w:highlight w:val="none"/>
          <w:lang w:val="en-US" w:eastAsia="zh-CN"/>
        </w:rPr>
        <w:t>27-</w:t>
      </w:r>
      <w:r>
        <w:rPr>
          <w:rFonts w:hint="eastAsia"/>
          <w:color w:val="auto"/>
          <w:highlight w:val="none"/>
        </w:rPr>
        <w:t>2</w:t>
      </w:r>
      <w:r>
        <w:rPr>
          <w:rFonts w:hint="eastAsia"/>
          <w:color w:val="auto"/>
          <w:highlight w:val="none"/>
          <w:lang w:val="en-US" w:eastAsia="zh-CN"/>
        </w:rPr>
        <w:t>8</w:t>
      </w:r>
      <w:r>
        <w:rPr>
          <w:color w:val="auto"/>
          <w:highlight w:val="none"/>
        </w:rPr>
        <w:t>-</w:t>
      </w:r>
      <w:r>
        <w:rPr>
          <w:rFonts w:hint="eastAsia"/>
          <w:color w:val="auto"/>
          <w:highlight w:val="none"/>
        </w:rPr>
        <w:t>2</w:t>
      </w:r>
      <w:r>
        <w:rPr>
          <w:rFonts w:hint="eastAsia"/>
          <w:color w:val="auto"/>
          <w:highlight w:val="none"/>
          <w:lang w:val="en-US" w:eastAsia="zh-CN"/>
        </w:rPr>
        <w:t>9</w:t>
      </w:r>
      <w:r>
        <w:rPr>
          <w:color w:val="auto"/>
          <w:highlight w:val="none"/>
        </w:rPr>
        <w:t>-</w:t>
      </w:r>
      <w:r>
        <w:rPr>
          <w:rFonts w:hint="eastAsia"/>
          <w:color w:val="auto"/>
          <w:highlight w:val="none"/>
          <w:lang w:val="en-US" w:eastAsia="zh-CN"/>
        </w:rPr>
        <w:t>30</w:t>
      </w:r>
      <w:r>
        <w:rPr>
          <w:color w:val="auto"/>
          <w:highlight w:val="none"/>
        </w:rPr>
        <w:t>-</w:t>
      </w:r>
      <w:r>
        <w:rPr>
          <w:rFonts w:hint="eastAsia"/>
          <w:color w:val="auto"/>
          <w:highlight w:val="none"/>
          <w:lang w:val="en-US" w:eastAsia="zh-CN"/>
        </w:rPr>
        <w:t>31</w:t>
      </w:r>
      <w:r>
        <w:rPr>
          <w:rFonts w:hint="eastAsia"/>
          <w:color w:val="auto"/>
          <w:highlight w:val="none"/>
        </w:rPr>
        <w:t>行。当第</w:t>
      </w:r>
      <w:r>
        <w:rPr>
          <w:rFonts w:hint="eastAsia"/>
          <w:color w:val="auto"/>
          <w:highlight w:val="none"/>
          <w:lang w:val="en-US" w:eastAsia="zh-CN"/>
        </w:rPr>
        <w:t>27-</w:t>
      </w:r>
      <w:r>
        <w:rPr>
          <w:rFonts w:hint="eastAsia"/>
          <w:color w:val="auto"/>
          <w:highlight w:val="none"/>
        </w:rPr>
        <w:t>2</w:t>
      </w:r>
      <w:r>
        <w:rPr>
          <w:rFonts w:hint="eastAsia"/>
          <w:color w:val="auto"/>
          <w:highlight w:val="none"/>
          <w:lang w:val="en-US" w:eastAsia="zh-CN"/>
        </w:rPr>
        <w:t>8</w:t>
      </w:r>
      <w:r>
        <w:rPr>
          <w:color w:val="auto"/>
          <w:highlight w:val="none"/>
        </w:rPr>
        <w:t>-</w:t>
      </w:r>
      <w:r>
        <w:rPr>
          <w:rFonts w:hint="eastAsia"/>
          <w:color w:val="auto"/>
          <w:highlight w:val="none"/>
        </w:rPr>
        <w:t>2</w:t>
      </w:r>
      <w:r>
        <w:rPr>
          <w:rFonts w:hint="eastAsia"/>
          <w:color w:val="auto"/>
          <w:highlight w:val="none"/>
          <w:lang w:val="en-US" w:eastAsia="zh-CN"/>
        </w:rPr>
        <w:t>9</w:t>
      </w:r>
      <w:r>
        <w:rPr>
          <w:color w:val="auto"/>
          <w:highlight w:val="none"/>
        </w:rPr>
        <w:t>-</w:t>
      </w:r>
      <w:r>
        <w:rPr>
          <w:rFonts w:hint="eastAsia"/>
          <w:color w:val="auto"/>
          <w:highlight w:val="none"/>
          <w:lang w:val="en-US" w:eastAsia="zh-CN"/>
        </w:rPr>
        <w:t>30</w:t>
      </w:r>
      <w:r>
        <w:rPr>
          <w:color w:val="auto"/>
          <w:highlight w:val="none"/>
        </w:rPr>
        <w:t>-</w:t>
      </w:r>
      <w:r>
        <w:rPr>
          <w:rFonts w:hint="eastAsia"/>
          <w:color w:val="auto"/>
          <w:highlight w:val="none"/>
          <w:lang w:val="en-US" w:eastAsia="zh-CN"/>
        </w:rPr>
        <w:t>31</w:t>
      </w:r>
      <w:r>
        <w:rPr>
          <w:rFonts w:hint="eastAsia"/>
          <w:color w:val="auto"/>
          <w:highlight w:val="none"/>
        </w:rPr>
        <w:t>行＜</w:t>
      </w:r>
      <w:r>
        <w:rPr>
          <w:color w:val="auto"/>
          <w:highlight w:val="none"/>
        </w:rPr>
        <w:t>0</w:t>
      </w:r>
      <w:r>
        <w:rPr>
          <w:rFonts w:hint="eastAsia"/>
          <w:color w:val="auto"/>
          <w:highlight w:val="none"/>
        </w:rPr>
        <w:t>时，第</w:t>
      </w:r>
      <w:r>
        <w:rPr>
          <w:rFonts w:hint="eastAsia"/>
          <w:color w:val="auto"/>
          <w:highlight w:val="none"/>
          <w:lang w:val="en-US" w:eastAsia="zh-CN"/>
        </w:rPr>
        <w:t>32</w:t>
      </w:r>
      <w:r>
        <w:rPr>
          <w:rFonts w:hint="eastAsia"/>
          <w:color w:val="auto"/>
          <w:highlight w:val="none"/>
        </w:rPr>
        <w:t>行＝</w:t>
      </w:r>
      <w:r>
        <w:rPr>
          <w:color w:val="auto"/>
          <w:highlight w:val="none"/>
        </w:rPr>
        <w:t>0</w:t>
      </w:r>
      <w:r>
        <w:rPr>
          <w:rFonts w:hint="eastAsia"/>
          <w:color w:val="auto"/>
          <w:highlight w:val="none"/>
        </w:rPr>
        <w:t>。</w:t>
      </w:r>
    </w:p>
    <w:p>
      <w:pPr>
        <w:pStyle w:val="11"/>
        <w:snapToGrid w:val="0"/>
        <w:spacing w:line="360" w:lineRule="auto"/>
        <w:textAlignment w:val="baseline"/>
        <w:rPr>
          <w:rFonts w:hint="eastAsia"/>
          <w:color w:val="auto"/>
          <w:highlight w:val="none"/>
        </w:rPr>
      </w:pPr>
      <w:r>
        <w:rPr>
          <w:rFonts w:hint="eastAsia"/>
          <w:color w:val="auto"/>
          <w:highlight w:val="none"/>
        </w:rPr>
        <w:t>其中，企业所得税收入全额归属中央且按比例就地预缴企业的分支机构，以及在同一省（自治区、直辖市、计划单列市）内的按比例就地预缴企业的分支机构，第</w:t>
      </w:r>
      <w:r>
        <w:rPr>
          <w:rFonts w:hint="eastAsia"/>
          <w:color w:val="auto"/>
          <w:highlight w:val="none"/>
          <w:lang w:val="en-US" w:eastAsia="zh-CN"/>
        </w:rPr>
        <w:t>32</w:t>
      </w:r>
      <w:r>
        <w:rPr>
          <w:rFonts w:hint="eastAsia"/>
          <w:color w:val="auto"/>
          <w:highlight w:val="none"/>
        </w:rPr>
        <w:t>行＝第</w:t>
      </w:r>
      <w:r>
        <w:rPr>
          <w:rFonts w:hint="eastAsia"/>
          <w:color w:val="auto"/>
          <w:highlight w:val="none"/>
          <w:lang w:val="en-US" w:eastAsia="zh-CN"/>
        </w:rPr>
        <w:t>27</w:t>
      </w:r>
      <w:r>
        <w:rPr>
          <w:rFonts w:hint="eastAsia"/>
          <w:color w:val="auto"/>
          <w:highlight w:val="none"/>
        </w:rPr>
        <w:t>行×就地预缴比例</w:t>
      </w:r>
      <w:r>
        <w:rPr>
          <w:color w:val="auto"/>
          <w:highlight w:val="none"/>
        </w:rPr>
        <w:t>-</w:t>
      </w:r>
      <w:r>
        <w:rPr>
          <w:rFonts w:hint="eastAsia"/>
          <w:color w:val="auto"/>
          <w:highlight w:val="none"/>
        </w:rPr>
        <w:t>第2</w:t>
      </w:r>
      <w:r>
        <w:rPr>
          <w:rFonts w:hint="eastAsia"/>
          <w:color w:val="auto"/>
          <w:highlight w:val="none"/>
          <w:lang w:val="en-US" w:eastAsia="zh-CN"/>
        </w:rPr>
        <w:t>8</w:t>
      </w:r>
      <w:r>
        <w:rPr>
          <w:rFonts w:hint="eastAsia"/>
          <w:color w:val="auto"/>
          <w:highlight w:val="none"/>
        </w:rPr>
        <w:t>行×就地预缴比例</w:t>
      </w:r>
      <w:r>
        <w:rPr>
          <w:color w:val="auto"/>
          <w:highlight w:val="none"/>
        </w:rPr>
        <w:t>-</w:t>
      </w:r>
      <w:r>
        <w:rPr>
          <w:rFonts w:hint="eastAsia"/>
          <w:color w:val="auto"/>
          <w:highlight w:val="none"/>
        </w:rPr>
        <w:t>第</w:t>
      </w:r>
      <w:r>
        <w:rPr>
          <w:rFonts w:hint="eastAsia"/>
          <w:color w:val="auto"/>
          <w:highlight w:val="none"/>
          <w:lang w:val="en-US" w:eastAsia="zh-CN"/>
        </w:rPr>
        <w:t>29</w:t>
      </w:r>
      <w:r>
        <w:rPr>
          <w:rFonts w:hint="eastAsia"/>
          <w:color w:val="auto"/>
          <w:highlight w:val="none"/>
        </w:rPr>
        <w:t>行</w:t>
      </w:r>
      <w:r>
        <w:rPr>
          <w:rFonts w:hint="eastAsia"/>
          <w:color w:val="auto"/>
          <w:sz w:val="24"/>
          <w:szCs w:val="24"/>
          <w:highlight w:val="none"/>
          <w:lang w:val="en-US" w:eastAsia="zh-CN"/>
        </w:rPr>
        <w:t>×就地预缴比例</w:t>
      </w:r>
      <w:r>
        <w:rPr>
          <w:rFonts w:hint="eastAsia"/>
          <w:color w:val="auto"/>
          <w:highlight w:val="none"/>
        </w:rPr>
        <w:t>-第</w:t>
      </w:r>
      <w:r>
        <w:rPr>
          <w:rFonts w:hint="eastAsia"/>
          <w:color w:val="auto"/>
          <w:highlight w:val="none"/>
          <w:lang w:val="en-US" w:eastAsia="zh-CN"/>
        </w:rPr>
        <w:t>30</w:t>
      </w:r>
      <w:r>
        <w:rPr>
          <w:rFonts w:hint="eastAsia"/>
          <w:color w:val="auto"/>
          <w:highlight w:val="none"/>
        </w:rPr>
        <w:t>行-第</w:t>
      </w:r>
      <w:r>
        <w:rPr>
          <w:rFonts w:hint="eastAsia"/>
          <w:color w:val="auto"/>
          <w:highlight w:val="none"/>
          <w:lang w:val="en-US" w:eastAsia="zh-CN"/>
        </w:rPr>
        <w:t>31</w:t>
      </w:r>
      <w:r>
        <w:rPr>
          <w:rFonts w:hint="eastAsia"/>
          <w:color w:val="auto"/>
          <w:highlight w:val="none"/>
        </w:rPr>
        <w:t>行，当第</w:t>
      </w:r>
      <w:r>
        <w:rPr>
          <w:rFonts w:hint="eastAsia"/>
          <w:color w:val="auto"/>
          <w:highlight w:val="none"/>
          <w:lang w:val="en-US" w:eastAsia="zh-CN"/>
        </w:rPr>
        <w:t>27</w:t>
      </w:r>
      <w:r>
        <w:rPr>
          <w:rFonts w:hint="eastAsia"/>
          <w:color w:val="auto"/>
          <w:highlight w:val="none"/>
        </w:rPr>
        <w:t>行×就地预缴比例</w:t>
      </w:r>
      <w:r>
        <w:rPr>
          <w:color w:val="auto"/>
          <w:highlight w:val="none"/>
        </w:rPr>
        <w:t>-</w:t>
      </w:r>
      <w:r>
        <w:rPr>
          <w:rFonts w:hint="eastAsia"/>
          <w:color w:val="auto"/>
          <w:highlight w:val="none"/>
        </w:rPr>
        <w:t>第2</w:t>
      </w:r>
      <w:r>
        <w:rPr>
          <w:rFonts w:hint="eastAsia"/>
          <w:color w:val="auto"/>
          <w:highlight w:val="none"/>
          <w:lang w:val="en-US" w:eastAsia="zh-CN"/>
        </w:rPr>
        <w:t>8</w:t>
      </w:r>
      <w:r>
        <w:rPr>
          <w:rFonts w:hint="eastAsia"/>
          <w:color w:val="auto"/>
          <w:highlight w:val="none"/>
        </w:rPr>
        <w:t>行×就地预缴比例</w:t>
      </w:r>
      <w:r>
        <w:rPr>
          <w:color w:val="auto"/>
          <w:highlight w:val="none"/>
        </w:rPr>
        <w:t>-</w:t>
      </w:r>
      <w:r>
        <w:rPr>
          <w:rFonts w:hint="eastAsia"/>
          <w:color w:val="auto"/>
          <w:highlight w:val="none"/>
        </w:rPr>
        <w:t>第</w:t>
      </w:r>
      <w:r>
        <w:rPr>
          <w:rFonts w:hint="eastAsia"/>
          <w:color w:val="auto"/>
          <w:highlight w:val="none"/>
          <w:lang w:val="en-US" w:eastAsia="zh-CN"/>
        </w:rPr>
        <w:t>29</w:t>
      </w:r>
      <w:r>
        <w:rPr>
          <w:rFonts w:hint="eastAsia"/>
          <w:color w:val="auto"/>
          <w:highlight w:val="none"/>
        </w:rPr>
        <w:t>行</w:t>
      </w:r>
      <w:r>
        <w:rPr>
          <w:rFonts w:hint="eastAsia"/>
          <w:color w:val="auto"/>
          <w:sz w:val="24"/>
          <w:szCs w:val="24"/>
          <w:highlight w:val="none"/>
          <w:lang w:val="en-US" w:eastAsia="zh-CN"/>
        </w:rPr>
        <w:t>×就地预缴比例</w:t>
      </w:r>
      <w:r>
        <w:rPr>
          <w:rFonts w:hint="eastAsia"/>
          <w:color w:val="auto"/>
          <w:highlight w:val="none"/>
        </w:rPr>
        <w:t>-第</w:t>
      </w:r>
      <w:r>
        <w:rPr>
          <w:rFonts w:hint="eastAsia"/>
          <w:color w:val="auto"/>
          <w:highlight w:val="none"/>
          <w:lang w:val="en-US" w:eastAsia="zh-CN"/>
        </w:rPr>
        <w:t>30</w:t>
      </w:r>
      <w:r>
        <w:rPr>
          <w:rFonts w:hint="eastAsia"/>
          <w:color w:val="auto"/>
          <w:highlight w:val="none"/>
        </w:rPr>
        <w:t>行-第</w:t>
      </w:r>
      <w:r>
        <w:rPr>
          <w:rFonts w:hint="eastAsia"/>
          <w:color w:val="auto"/>
          <w:highlight w:val="none"/>
          <w:lang w:val="en-US" w:eastAsia="zh-CN"/>
        </w:rPr>
        <w:t>31</w:t>
      </w:r>
      <w:r>
        <w:rPr>
          <w:rFonts w:hint="eastAsia"/>
          <w:color w:val="auto"/>
          <w:highlight w:val="none"/>
        </w:rPr>
        <w:t>行＜</w:t>
      </w:r>
      <w:r>
        <w:rPr>
          <w:color w:val="auto"/>
          <w:highlight w:val="none"/>
        </w:rPr>
        <w:t>0</w:t>
      </w:r>
      <w:r>
        <w:rPr>
          <w:rFonts w:hint="eastAsia"/>
          <w:color w:val="auto"/>
          <w:highlight w:val="none"/>
        </w:rPr>
        <w:t>时</w:t>
      </w:r>
      <w:r>
        <w:rPr>
          <w:rFonts w:hint="eastAsia"/>
          <w:color w:val="auto"/>
          <w:highlight w:val="none"/>
          <w:lang w:eastAsia="zh-CN"/>
        </w:rPr>
        <w:t>，</w:t>
      </w:r>
      <w:r>
        <w:rPr>
          <w:rFonts w:hint="eastAsia"/>
          <w:color w:val="auto"/>
          <w:highlight w:val="none"/>
        </w:rPr>
        <w:t>第</w:t>
      </w:r>
      <w:r>
        <w:rPr>
          <w:rFonts w:hint="eastAsia"/>
          <w:color w:val="auto"/>
          <w:highlight w:val="none"/>
          <w:lang w:val="en-US" w:eastAsia="zh-CN"/>
        </w:rPr>
        <w:t>32</w:t>
      </w:r>
      <w:r>
        <w:rPr>
          <w:rFonts w:hint="eastAsia"/>
          <w:color w:val="auto"/>
          <w:highlight w:val="none"/>
        </w:rPr>
        <w:t>行＝</w:t>
      </w:r>
      <w:r>
        <w:rPr>
          <w:color w:val="auto"/>
          <w:highlight w:val="none"/>
        </w:rPr>
        <w:t>0</w:t>
      </w:r>
      <w:r>
        <w:rPr>
          <w:rFonts w:hint="eastAsia"/>
          <w:color w:val="auto"/>
          <w:highlight w:val="none"/>
        </w:rPr>
        <w:t>。</w:t>
      </w:r>
    </w:p>
    <w:p>
      <w:pPr>
        <w:pStyle w:val="11"/>
        <w:snapToGrid w:val="0"/>
        <w:spacing w:line="360" w:lineRule="auto"/>
        <w:textAlignment w:val="baseline"/>
        <w:rPr>
          <w:rFonts w:cs="Times New Roman"/>
          <w:color w:val="auto"/>
          <w:highlight w:val="none"/>
        </w:rPr>
      </w:pPr>
      <w:r>
        <w:rPr>
          <w:rFonts w:hint="eastAsia"/>
          <w:color w:val="auto"/>
          <w:highlight w:val="none"/>
          <w:lang w:val="en-US" w:eastAsia="zh"/>
        </w:rPr>
        <w:t>9</w:t>
      </w:r>
      <w:r>
        <w:rPr>
          <w:color w:val="auto"/>
          <w:highlight w:val="none"/>
        </w:rPr>
        <w:t>.</w:t>
      </w:r>
      <w:r>
        <w:rPr>
          <w:rFonts w:hint="eastAsia"/>
          <w:color w:val="auto"/>
          <w:highlight w:val="none"/>
        </w:rPr>
        <w:t>第</w:t>
      </w:r>
      <w:r>
        <w:rPr>
          <w:rFonts w:hint="eastAsia"/>
          <w:color w:val="auto"/>
          <w:highlight w:val="none"/>
          <w:lang w:val="en-US" w:eastAsia="zh-CN"/>
        </w:rPr>
        <w:t>33</w:t>
      </w:r>
      <w:r>
        <w:rPr>
          <w:rFonts w:hint="eastAsia"/>
          <w:color w:val="auto"/>
          <w:highlight w:val="none"/>
        </w:rPr>
        <w:t>行＝第3</w:t>
      </w:r>
      <w:r>
        <w:rPr>
          <w:rFonts w:hint="eastAsia"/>
          <w:color w:val="auto"/>
          <w:highlight w:val="none"/>
          <w:lang w:val="en-US" w:eastAsia="zh-CN"/>
        </w:rPr>
        <w:t>4</w:t>
      </w:r>
      <w:r>
        <w:rPr>
          <w:color w:val="auto"/>
          <w:highlight w:val="none"/>
        </w:rPr>
        <w:t>+</w:t>
      </w:r>
      <w:r>
        <w:rPr>
          <w:rFonts w:hint="eastAsia"/>
          <w:color w:val="auto"/>
          <w:highlight w:val="none"/>
        </w:rPr>
        <w:t>3</w:t>
      </w:r>
      <w:r>
        <w:rPr>
          <w:rFonts w:hint="eastAsia"/>
          <w:color w:val="auto"/>
          <w:highlight w:val="none"/>
          <w:lang w:val="en-US" w:eastAsia="zh-CN"/>
        </w:rPr>
        <w:t>5</w:t>
      </w:r>
      <w:r>
        <w:rPr>
          <w:color w:val="auto"/>
          <w:highlight w:val="none"/>
        </w:rPr>
        <w:t>+</w:t>
      </w:r>
      <w:r>
        <w:rPr>
          <w:rFonts w:hint="eastAsia"/>
          <w:color w:val="auto"/>
          <w:highlight w:val="none"/>
        </w:rPr>
        <w:t>3</w:t>
      </w:r>
      <w:r>
        <w:rPr>
          <w:rFonts w:hint="eastAsia"/>
          <w:color w:val="auto"/>
          <w:highlight w:val="none"/>
          <w:lang w:val="en-US" w:eastAsia="zh-CN"/>
        </w:rPr>
        <w:t>6</w:t>
      </w:r>
      <w:r>
        <w:rPr>
          <w:rFonts w:hint="eastAsia"/>
          <w:color w:val="auto"/>
          <w:highlight w:val="none"/>
        </w:rPr>
        <w:t>行。</w:t>
      </w:r>
    </w:p>
    <w:p>
      <w:pPr>
        <w:pStyle w:val="11"/>
        <w:snapToGrid w:val="0"/>
        <w:spacing w:line="360" w:lineRule="auto"/>
        <w:textAlignment w:val="baseline"/>
        <w:rPr>
          <w:rFonts w:hint="eastAsia" w:ascii="楷体_GB2312" w:hAnsi="楷体_GB2312" w:eastAsia="楷体_GB2312" w:cs="楷体_GB2312"/>
          <w:color w:val="auto"/>
          <w:kern w:val="0"/>
          <w:highlight w:val="none"/>
        </w:rPr>
      </w:pPr>
      <w:r>
        <w:rPr>
          <w:rFonts w:hint="eastAsia" w:ascii="楷体_GB2312" w:hAnsi="楷体_GB2312" w:eastAsia="楷体_GB2312" w:cs="楷体_GB2312"/>
          <w:color w:val="auto"/>
          <w:kern w:val="0"/>
          <w:highlight w:val="none"/>
        </w:rPr>
        <w:t>（二）表间关系</w:t>
      </w:r>
    </w:p>
    <w:p>
      <w:pPr>
        <w:pStyle w:val="11"/>
        <w:snapToGrid w:val="0"/>
        <w:spacing w:line="360" w:lineRule="auto"/>
        <w:textAlignment w:val="baseline"/>
        <w:rPr>
          <w:rFonts w:hint="eastAsia"/>
          <w:color w:val="auto"/>
          <w:highlight w:val="none"/>
        </w:rPr>
      </w:pPr>
      <w:r>
        <w:rPr>
          <w:color w:val="auto"/>
          <w:highlight w:val="none"/>
        </w:rPr>
        <w:t>1.</w:t>
      </w:r>
      <w:r>
        <w:rPr>
          <w:rFonts w:hint="eastAsia"/>
          <w:color w:val="auto"/>
          <w:highlight w:val="none"/>
        </w:rPr>
        <w:t>第</w:t>
      </w:r>
      <w:r>
        <w:rPr>
          <w:rFonts w:hint="eastAsia"/>
          <w:color w:val="auto"/>
          <w:highlight w:val="none"/>
          <w:lang w:val="en-US" w:eastAsia="zh-CN"/>
        </w:rPr>
        <w:t>21</w:t>
      </w:r>
      <w:r>
        <w:rPr>
          <w:rFonts w:hint="eastAsia"/>
          <w:color w:val="auto"/>
          <w:highlight w:val="none"/>
        </w:rPr>
        <w:t>行＝表</w:t>
      </w:r>
      <w:r>
        <w:rPr>
          <w:color w:val="auto"/>
          <w:highlight w:val="none"/>
        </w:rPr>
        <w:t>A201020</w:t>
      </w:r>
      <w:r>
        <w:rPr>
          <w:rFonts w:hint="eastAsia"/>
          <w:color w:val="auto"/>
          <w:highlight w:val="none"/>
        </w:rPr>
        <w:t>第3行第</w:t>
      </w:r>
      <w:r>
        <w:rPr>
          <w:color w:val="auto"/>
          <w:highlight w:val="none"/>
        </w:rPr>
        <w:t>5</w:t>
      </w:r>
      <w:r>
        <w:rPr>
          <w:rFonts w:hint="eastAsia"/>
          <w:color w:val="auto"/>
          <w:highlight w:val="none"/>
        </w:rPr>
        <w:t>列。</w:t>
      </w:r>
    </w:p>
    <w:p>
      <w:pPr>
        <w:pStyle w:val="11"/>
        <w:spacing w:line="360" w:lineRule="auto"/>
        <w:rPr>
          <w:rFonts w:hint="eastAsia"/>
          <w:color w:val="auto"/>
          <w:highlight w:val="none"/>
        </w:rPr>
      </w:pPr>
      <w:r>
        <w:rPr>
          <w:rFonts w:hint="eastAsia"/>
          <w:color w:val="auto"/>
          <w:highlight w:val="none"/>
        </w:rPr>
        <w:t>2.第</w:t>
      </w:r>
      <w:r>
        <w:rPr>
          <w:rFonts w:hint="eastAsia"/>
          <w:color w:val="auto"/>
          <w:highlight w:val="none"/>
          <w:lang w:val="en-US" w:eastAsia="zh-CN"/>
        </w:rPr>
        <w:t>31</w:t>
      </w:r>
      <w:r>
        <w:rPr>
          <w:rFonts w:hint="eastAsia"/>
          <w:color w:val="auto"/>
          <w:highlight w:val="none"/>
        </w:rPr>
        <w:t>行=表</w:t>
      </w:r>
      <w:r>
        <w:rPr>
          <w:color w:val="auto"/>
          <w:highlight w:val="none"/>
        </w:rPr>
        <w:t>A202000</w:t>
      </w:r>
      <w:r>
        <w:rPr>
          <w:rFonts w:hint="eastAsia"/>
          <w:color w:val="auto"/>
          <w:highlight w:val="none"/>
        </w:rPr>
        <w:t>“总机构直接管理建筑项目部预分所得税额”列次填报的金额。</w:t>
      </w:r>
    </w:p>
    <w:p>
      <w:pPr>
        <w:pStyle w:val="11"/>
        <w:snapToGrid w:val="0"/>
        <w:spacing w:line="360" w:lineRule="auto"/>
        <w:textAlignment w:val="baseline"/>
        <w:rPr>
          <w:rFonts w:cs="Times New Roman"/>
          <w:color w:val="auto"/>
          <w:highlight w:val="none"/>
        </w:rPr>
      </w:pPr>
      <w:r>
        <w:rPr>
          <w:rFonts w:hint="eastAsia"/>
          <w:color w:val="auto"/>
          <w:highlight w:val="none"/>
        </w:rPr>
        <w:t>3</w:t>
      </w:r>
      <w:r>
        <w:rPr>
          <w:color w:val="auto"/>
          <w:highlight w:val="none"/>
        </w:rPr>
        <w:t>.</w:t>
      </w:r>
      <w:r>
        <w:rPr>
          <w:rFonts w:hint="eastAsia"/>
          <w:color w:val="auto"/>
          <w:highlight w:val="none"/>
        </w:rPr>
        <w:t>第3</w:t>
      </w:r>
      <w:r>
        <w:rPr>
          <w:rFonts w:hint="eastAsia"/>
          <w:color w:val="auto"/>
          <w:highlight w:val="none"/>
          <w:lang w:val="en-US" w:eastAsia="zh-CN"/>
        </w:rPr>
        <w:t>4</w:t>
      </w:r>
      <w:r>
        <w:rPr>
          <w:rFonts w:hint="eastAsia"/>
          <w:color w:val="auto"/>
          <w:highlight w:val="none"/>
        </w:rPr>
        <w:t>行＝表</w:t>
      </w:r>
      <w:r>
        <w:rPr>
          <w:color w:val="auto"/>
          <w:highlight w:val="none"/>
        </w:rPr>
        <w:t>A202000</w:t>
      </w:r>
      <w:r>
        <w:rPr>
          <w:rFonts w:hint="eastAsia"/>
          <w:color w:val="auto"/>
          <w:highlight w:val="none"/>
        </w:rPr>
        <w:t>“总机构分摊”行次“分摊应补（退）所得税额”列次填报的金额。</w:t>
      </w:r>
    </w:p>
    <w:p>
      <w:pPr>
        <w:pStyle w:val="11"/>
        <w:snapToGrid w:val="0"/>
        <w:spacing w:line="360" w:lineRule="auto"/>
        <w:textAlignment w:val="baseline"/>
        <w:rPr>
          <w:rFonts w:cs="Times New Roman"/>
          <w:color w:val="auto"/>
          <w:highlight w:val="none"/>
        </w:rPr>
      </w:pPr>
      <w:r>
        <w:rPr>
          <w:rFonts w:hint="eastAsia"/>
          <w:color w:val="auto"/>
          <w:highlight w:val="none"/>
        </w:rPr>
        <w:t>4</w:t>
      </w:r>
      <w:r>
        <w:rPr>
          <w:color w:val="auto"/>
          <w:highlight w:val="none"/>
        </w:rPr>
        <w:t>.</w:t>
      </w:r>
      <w:r>
        <w:rPr>
          <w:rFonts w:hint="eastAsia"/>
          <w:color w:val="auto"/>
          <w:highlight w:val="none"/>
        </w:rPr>
        <w:t>第3</w:t>
      </w:r>
      <w:r>
        <w:rPr>
          <w:rFonts w:hint="eastAsia"/>
          <w:color w:val="auto"/>
          <w:highlight w:val="none"/>
          <w:lang w:val="en-US" w:eastAsia="zh-CN"/>
        </w:rPr>
        <w:t>5</w:t>
      </w:r>
      <w:r>
        <w:rPr>
          <w:rFonts w:hint="eastAsia"/>
          <w:color w:val="auto"/>
          <w:highlight w:val="none"/>
        </w:rPr>
        <w:t>行＝表</w:t>
      </w:r>
      <w:r>
        <w:rPr>
          <w:color w:val="auto"/>
          <w:highlight w:val="none"/>
        </w:rPr>
        <w:t>A202000</w:t>
      </w:r>
      <w:r>
        <w:rPr>
          <w:rFonts w:hint="eastAsia"/>
          <w:color w:val="auto"/>
          <w:highlight w:val="none"/>
        </w:rPr>
        <w:t>“总机构财政集中分配”行次“分摊应补（退）所得税额”列次填报的金额。</w:t>
      </w:r>
    </w:p>
    <w:p>
      <w:pPr>
        <w:pStyle w:val="11"/>
        <w:snapToGrid w:val="0"/>
        <w:spacing w:line="360" w:lineRule="auto"/>
        <w:textAlignment w:val="baseline"/>
        <w:rPr>
          <w:color w:val="auto"/>
          <w:highlight w:val="none"/>
        </w:rPr>
      </w:pPr>
      <w:r>
        <w:rPr>
          <w:rFonts w:hint="eastAsia"/>
          <w:color w:val="auto"/>
          <w:highlight w:val="none"/>
        </w:rPr>
        <w:t>5</w:t>
      </w:r>
      <w:r>
        <w:rPr>
          <w:color w:val="auto"/>
          <w:highlight w:val="none"/>
        </w:rPr>
        <w:t>.</w:t>
      </w:r>
      <w:r>
        <w:rPr>
          <w:rFonts w:hint="eastAsia"/>
          <w:color w:val="auto"/>
          <w:highlight w:val="none"/>
        </w:rPr>
        <w:t>第3</w:t>
      </w:r>
      <w:r>
        <w:rPr>
          <w:rFonts w:hint="eastAsia"/>
          <w:color w:val="auto"/>
          <w:highlight w:val="none"/>
          <w:lang w:val="en-US" w:eastAsia="zh-CN"/>
        </w:rPr>
        <w:t>6</w:t>
      </w:r>
      <w:r>
        <w:rPr>
          <w:rFonts w:hint="eastAsia"/>
          <w:color w:val="auto"/>
          <w:highlight w:val="none"/>
        </w:rPr>
        <w:t>行＝表</w:t>
      </w:r>
      <w:r>
        <w:rPr>
          <w:color w:val="auto"/>
          <w:highlight w:val="none"/>
        </w:rPr>
        <w:t>A202000</w:t>
      </w:r>
      <w:r>
        <w:rPr>
          <w:rFonts w:hint="eastAsia"/>
          <w:color w:val="auto"/>
          <w:highlight w:val="none"/>
        </w:rPr>
        <w:t>“分支机构分摊”中对应总机构独立生产经营部门行次的“分摊应补（退）所得税额”列次填报的金额。</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00"/>
    <w:family w:val="auto"/>
    <w:pitch w:val="default"/>
    <w:sig w:usb0="00000000" w:usb1="00000000"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jc w:val="center"/>
      <w:rPr>
        <w:rFonts w:ascii="Arial" w:hAnsi="Arial" w:cs="Arial"/>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tabs>
                              <w:tab w:val="clear" w:pos="4153"/>
                              <w:tab w:val="clear" w:pos="8306"/>
                            </w:tabs>
                            <w:jc w:val="cente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w:t>
                          </w:r>
                          <w:r>
                            <w:rPr>
                              <w:rFonts w:ascii="Arial" w:hAnsi="Arial" w:cs="Arial"/>
                              <w:sz w:val="24"/>
                              <w:szCs w:val="24"/>
                            </w:rPr>
                            <w:fldChar w:fldCharType="end"/>
                          </w:r>
                          <w:r>
                            <w:rPr>
                              <w:rFonts w:ascii="Arial" w:hAnsi="Arial" w:cs="Arial"/>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tabs>
                        <w:tab w:val="clear" w:pos="4153"/>
                        <w:tab w:val="clear" w:pos="8306"/>
                      </w:tabs>
                      <w:jc w:val="cente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w:t>
                    </w:r>
                    <w:r>
                      <w:rPr>
                        <w:rFonts w:ascii="Arial" w:hAnsi="Arial" w:cs="Arial"/>
                        <w:sz w:val="24"/>
                        <w:szCs w:val="24"/>
                      </w:rPr>
                      <w:fldChar w:fldCharType="end"/>
                    </w:r>
                    <w:r>
                      <w:rPr>
                        <w:rFonts w:ascii="Arial" w:hAnsi="Arial" w:cs="Arial"/>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587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等线"/>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TableOfAuthoring"/>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rFonts w:ascii="等线" w:hAnsi="等线" w:eastAsia="等线"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customStyle="1" w:styleId="7">
    <w:name w:val="SBBT1"/>
    <w:basedOn w:val="1"/>
    <w:qFormat/>
    <w:uiPriority w:val="0"/>
    <w:pPr>
      <w:tabs>
        <w:tab w:val="center" w:pos="4678"/>
      </w:tabs>
      <w:ind w:left="139" w:leftChars="66" w:right="139" w:rightChars="66" w:firstLine="2"/>
      <w:jc w:val="left"/>
      <w:outlineLvl w:val="0"/>
    </w:pPr>
    <w:rPr>
      <w:rFonts w:ascii="方正小标宋简体" w:eastAsia="方正小标宋简体" w:cs="方正小标宋简体"/>
      <w:sz w:val="28"/>
      <w:szCs w:val="28"/>
    </w:rPr>
  </w:style>
  <w:style w:type="paragraph" w:customStyle="1" w:styleId="8">
    <w:name w:val="正文_1"/>
    <w:qFormat/>
    <w:uiPriority w:val="0"/>
    <w:rPr>
      <w:rFonts w:ascii="Times New Roman" w:hAnsi="Times New Roman" w:eastAsia="Times New Roman" w:cs="Times New Roman"/>
      <w:sz w:val="24"/>
      <w:szCs w:val="24"/>
      <w:lang w:val="en-US" w:eastAsia="zh-CN" w:bidi="ar-SA"/>
    </w:rPr>
  </w:style>
  <w:style w:type="paragraph" w:customStyle="1" w:styleId="9">
    <w:name w:val="正文_1_0"/>
    <w:qFormat/>
    <w:uiPriority w:val="0"/>
    <w:rPr>
      <w:rFonts w:ascii="Times New Roman" w:hAnsi="Times New Roman" w:eastAsia="Times New Roman" w:cs="Times New Roman"/>
      <w:sz w:val="24"/>
      <w:szCs w:val="24"/>
      <w:lang w:val="en-US" w:eastAsia="zh-CN" w:bidi="ar-SA"/>
    </w:rPr>
  </w:style>
  <w:style w:type="paragraph" w:customStyle="1" w:styleId="10">
    <w:name w:val="SBBL2"/>
    <w:basedOn w:val="1"/>
    <w:qFormat/>
    <w:uiPriority w:val="0"/>
    <w:pPr>
      <w:spacing w:line="360" w:lineRule="auto"/>
      <w:ind w:firstLine="480" w:firstLineChars="200"/>
      <w:jc w:val="left"/>
      <w:outlineLvl w:val="1"/>
    </w:pPr>
    <w:rPr>
      <w:rFonts w:ascii="黑体" w:hAnsi="黑体" w:eastAsia="黑体" w:cs="黑体"/>
      <w:sz w:val="24"/>
      <w:szCs w:val="24"/>
    </w:rPr>
  </w:style>
  <w:style w:type="paragraph" w:customStyle="1" w:styleId="11">
    <w:name w:val="SBBZW"/>
    <w:basedOn w:val="1"/>
    <w:qFormat/>
    <w:uiPriority w:val="0"/>
    <w:pPr>
      <w:spacing w:line="360" w:lineRule="auto"/>
      <w:ind w:firstLine="480" w:firstLineChars="200"/>
    </w:pPr>
    <w:rPr>
      <w:rFonts w:ascii="宋体" w:hAnsi="宋体" w:eastAsia="宋体" w:cs="宋体"/>
      <w:sz w:val="24"/>
      <w:szCs w:val="24"/>
    </w:rPr>
  </w:style>
  <w:style w:type="paragraph" w:customStyle="1" w:styleId="12">
    <w:name w:val="SBBL3"/>
    <w:basedOn w:val="1"/>
    <w:qFormat/>
    <w:uiPriority w:val="0"/>
    <w:pPr>
      <w:spacing w:line="360" w:lineRule="auto"/>
      <w:ind w:firstLine="480" w:firstLineChars="200"/>
      <w:outlineLvl w:val="2"/>
    </w:pPr>
    <w:rPr>
      <w:rFonts w:ascii="楷体_GB2312" w:hAnsi="楷体_GB2312" w:eastAsia="楷体_GB2312" w:cs="楷体_GB2312"/>
      <w:sz w:val="24"/>
      <w:szCs w:val="24"/>
    </w:rPr>
  </w:style>
  <w:style w:type="paragraph" w:customStyle="1" w:styleId="13">
    <w:name w:val="填报说明正文"/>
    <w:basedOn w:val="1"/>
    <w:qFormat/>
    <w:uiPriority w:val="0"/>
    <w:pPr>
      <w:spacing w:line="480" w:lineRule="exact"/>
      <w:ind w:firstLine="640" w:firstLineChars="200"/>
    </w:pPr>
    <w:rPr>
      <w:rFonts w:ascii="Times New Roman" w:hAnsi="Times New Roman" w:eastAsia="CESI宋体-GB231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2025-09-22T07:11:57Z</dcterms:created>
  <dc:creator>Administrator</dc:creator>
  <cp:lastModifiedBy>Administrator</cp:lastModifiedBy>
  <dcterms:modified xsi:type="dcterms:W3CDTF">2025-09-22T07:34:43Z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